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AA2D9" w14:textId="2E462D6C" w:rsidR="00C167F6" w:rsidRPr="00947CC1" w:rsidRDefault="00E30113" w:rsidP="000865D7">
      <w:pPr>
        <w:shd w:val="clear" w:color="auto" w:fill="FFFFFF"/>
        <w:jc w:val="center"/>
        <w:textAlignment w:val="baseline"/>
        <w:rPr>
          <w:rFonts w:ascii="Times New Roman" w:hAnsi="Times New Roman" w:cs="Times New Roman"/>
          <w:b/>
          <w:sz w:val="24"/>
          <w:szCs w:val="24"/>
        </w:rPr>
      </w:pPr>
      <w:r w:rsidRPr="00947CC1">
        <w:rPr>
          <w:rFonts w:ascii="Times New Roman" w:hAnsi="Times New Roman" w:cs="Times New Roman"/>
          <w:b/>
          <w:sz w:val="24"/>
          <w:szCs w:val="24"/>
        </w:rPr>
        <w:t>Análise de Riscos na Gestão Coordenada de Fronteiras</w:t>
      </w:r>
      <w:r w:rsidR="00AA0B88" w:rsidRPr="00947CC1">
        <w:rPr>
          <w:rFonts w:ascii="Times New Roman" w:hAnsi="Times New Roman" w:cs="Times New Roman"/>
          <w:b/>
          <w:sz w:val="24"/>
          <w:szCs w:val="24"/>
        </w:rPr>
        <w:t>: a</w:t>
      </w:r>
      <w:r w:rsidR="00C167F6" w:rsidRPr="00947CC1">
        <w:rPr>
          <w:rFonts w:ascii="Times New Roman" w:hAnsi="Times New Roman" w:cs="Times New Roman"/>
          <w:b/>
          <w:sz w:val="24"/>
          <w:szCs w:val="24"/>
        </w:rPr>
        <w:t xml:space="preserve"> </w:t>
      </w:r>
      <w:r w:rsidR="0072715D" w:rsidRPr="00947CC1">
        <w:rPr>
          <w:rFonts w:ascii="Times New Roman" w:hAnsi="Times New Roman" w:cs="Times New Roman"/>
          <w:b/>
          <w:sz w:val="24"/>
          <w:szCs w:val="24"/>
        </w:rPr>
        <w:t>C</w:t>
      </w:r>
      <w:r w:rsidR="00C167F6" w:rsidRPr="00947CC1">
        <w:rPr>
          <w:rFonts w:ascii="Times New Roman" w:hAnsi="Times New Roman" w:cs="Times New Roman"/>
          <w:b/>
          <w:sz w:val="24"/>
          <w:szCs w:val="24"/>
        </w:rPr>
        <w:t xml:space="preserve">onvergência </w:t>
      </w:r>
      <w:r w:rsidR="0072715D" w:rsidRPr="00947CC1">
        <w:rPr>
          <w:rFonts w:ascii="Times New Roman" w:hAnsi="Times New Roman" w:cs="Times New Roman"/>
          <w:b/>
          <w:sz w:val="24"/>
          <w:szCs w:val="24"/>
        </w:rPr>
        <w:t>E</w:t>
      </w:r>
      <w:r w:rsidR="00C167F6" w:rsidRPr="00947CC1">
        <w:rPr>
          <w:rFonts w:ascii="Times New Roman" w:hAnsi="Times New Roman" w:cs="Times New Roman"/>
          <w:b/>
          <w:sz w:val="24"/>
          <w:szCs w:val="24"/>
        </w:rPr>
        <w:t xml:space="preserve">ntre </w:t>
      </w:r>
      <w:r w:rsidR="00AA0B88" w:rsidRPr="00947CC1">
        <w:rPr>
          <w:rFonts w:ascii="Times New Roman" w:hAnsi="Times New Roman" w:cs="Times New Roman"/>
          <w:b/>
          <w:sz w:val="24"/>
          <w:szCs w:val="24"/>
        </w:rPr>
        <w:t xml:space="preserve">os </w:t>
      </w:r>
      <w:r w:rsidR="0072715D" w:rsidRPr="00947CC1">
        <w:rPr>
          <w:rFonts w:ascii="Times New Roman" w:hAnsi="Times New Roman" w:cs="Times New Roman"/>
          <w:b/>
          <w:sz w:val="24"/>
          <w:szCs w:val="24"/>
        </w:rPr>
        <w:t>D</w:t>
      </w:r>
      <w:r w:rsidR="00AA0B88" w:rsidRPr="00947CC1">
        <w:rPr>
          <w:rFonts w:ascii="Times New Roman" w:hAnsi="Times New Roman" w:cs="Times New Roman"/>
          <w:b/>
          <w:sz w:val="24"/>
          <w:szCs w:val="24"/>
        </w:rPr>
        <w:t xml:space="preserve">ireitos </w:t>
      </w:r>
      <w:r w:rsidR="0072715D" w:rsidRPr="00947CC1">
        <w:rPr>
          <w:rFonts w:ascii="Times New Roman" w:hAnsi="Times New Roman" w:cs="Times New Roman"/>
          <w:b/>
          <w:sz w:val="24"/>
          <w:szCs w:val="24"/>
        </w:rPr>
        <w:t>H</w:t>
      </w:r>
      <w:r w:rsidR="00AA0B88" w:rsidRPr="00947CC1">
        <w:rPr>
          <w:rFonts w:ascii="Times New Roman" w:hAnsi="Times New Roman" w:cs="Times New Roman"/>
          <w:b/>
          <w:sz w:val="24"/>
          <w:szCs w:val="24"/>
        </w:rPr>
        <w:t xml:space="preserve">umanos e </w:t>
      </w:r>
      <w:r w:rsidR="00C167F6" w:rsidRPr="00947CC1">
        <w:rPr>
          <w:rFonts w:ascii="Times New Roman" w:hAnsi="Times New Roman" w:cs="Times New Roman"/>
          <w:b/>
          <w:sz w:val="24"/>
          <w:szCs w:val="24"/>
        </w:rPr>
        <w:t xml:space="preserve">a </w:t>
      </w:r>
      <w:r w:rsidR="0072715D" w:rsidRPr="00947CC1">
        <w:rPr>
          <w:rFonts w:ascii="Times New Roman" w:hAnsi="Times New Roman" w:cs="Times New Roman"/>
          <w:b/>
          <w:sz w:val="24"/>
          <w:szCs w:val="24"/>
        </w:rPr>
        <w:t>S</w:t>
      </w:r>
      <w:r w:rsidR="00C167F6" w:rsidRPr="00947CC1">
        <w:rPr>
          <w:rFonts w:ascii="Times New Roman" w:hAnsi="Times New Roman" w:cs="Times New Roman"/>
          <w:b/>
          <w:sz w:val="24"/>
          <w:szCs w:val="24"/>
        </w:rPr>
        <w:t xml:space="preserve">egurança </w:t>
      </w:r>
      <w:r w:rsidR="0072715D" w:rsidRPr="00947CC1">
        <w:rPr>
          <w:rFonts w:ascii="Times New Roman" w:hAnsi="Times New Roman" w:cs="Times New Roman"/>
          <w:b/>
          <w:sz w:val="24"/>
          <w:szCs w:val="24"/>
        </w:rPr>
        <w:t>N</w:t>
      </w:r>
      <w:r w:rsidR="00C167F6" w:rsidRPr="00947CC1">
        <w:rPr>
          <w:rFonts w:ascii="Times New Roman" w:hAnsi="Times New Roman" w:cs="Times New Roman"/>
          <w:b/>
          <w:sz w:val="24"/>
          <w:szCs w:val="24"/>
        </w:rPr>
        <w:t xml:space="preserve">acional na </w:t>
      </w:r>
      <w:r w:rsidR="0072715D" w:rsidRPr="00947CC1">
        <w:rPr>
          <w:rFonts w:ascii="Times New Roman" w:hAnsi="Times New Roman" w:cs="Times New Roman"/>
          <w:b/>
          <w:sz w:val="24"/>
          <w:szCs w:val="24"/>
        </w:rPr>
        <w:t>M</w:t>
      </w:r>
      <w:r w:rsidR="00C167F6" w:rsidRPr="00947CC1">
        <w:rPr>
          <w:rFonts w:ascii="Times New Roman" w:hAnsi="Times New Roman" w:cs="Times New Roman"/>
          <w:b/>
          <w:sz w:val="24"/>
          <w:szCs w:val="24"/>
        </w:rPr>
        <w:t xml:space="preserve">igração </w:t>
      </w:r>
      <w:r w:rsidR="0072715D" w:rsidRPr="00947CC1">
        <w:rPr>
          <w:rFonts w:ascii="Times New Roman" w:hAnsi="Times New Roman" w:cs="Times New Roman"/>
          <w:b/>
          <w:sz w:val="24"/>
          <w:szCs w:val="24"/>
        </w:rPr>
        <w:t>I</w:t>
      </w:r>
      <w:r w:rsidR="00C167F6" w:rsidRPr="00947CC1">
        <w:rPr>
          <w:rFonts w:ascii="Times New Roman" w:hAnsi="Times New Roman" w:cs="Times New Roman"/>
          <w:b/>
          <w:sz w:val="24"/>
          <w:szCs w:val="24"/>
        </w:rPr>
        <w:t>nternacional</w:t>
      </w:r>
    </w:p>
    <w:p w14:paraId="7C7CE0B1" w14:textId="77777777" w:rsidR="009E264E" w:rsidRDefault="009E264E" w:rsidP="009E264E">
      <w:pPr>
        <w:jc w:val="center"/>
        <w:rPr>
          <w:rFonts w:ascii="Times New Roman" w:hAnsi="Times New Roman" w:cs="Times New Roman"/>
          <w:b/>
          <w:sz w:val="24"/>
          <w:szCs w:val="24"/>
        </w:rPr>
      </w:pPr>
    </w:p>
    <w:p w14:paraId="5DC4DDA9" w14:textId="77777777" w:rsidR="009E264E" w:rsidRPr="00947CC1" w:rsidRDefault="009E264E" w:rsidP="009E264E">
      <w:pPr>
        <w:spacing w:after="0" w:line="240" w:lineRule="auto"/>
        <w:jc w:val="right"/>
        <w:rPr>
          <w:rFonts w:ascii="Times New Roman" w:hAnsi="Times New Roman" w:cs="Times New Roman"/>
          <w:i/>
          <w:sz w:val="24"/>
          <w:szCs w:val="24"/>
        </w:rPr>
      </w:pPr>
      <w:r w:rsidRPr="00947CC1">
        <w:rPr>
          <w:rFonts w:ascii="Times New Roman" w:hAnsi="Times New Roman" w:cs="Times New Roman"/>
          <w:i/>
          <w:sz w:val="24"/>
          <w:szCs w:val="24"/>
        </w:rPr>
        <w:t>Felipe Scarpelli de Andrade</w:t>
      </w:r>
      <w:r w:rsidRPr="00947CC1">
        <w:rPr>
          <w:rStyle w:val="Refdenotaderodap"/>
          <w:rFonts w:ascii="Times New Roman" w:hAnsi="Times New Roman" w:cs="Times New Roman"/>
          <w:i/>
          <w:sz w:val="20"/>
          <w:szCs w:val="20"/>
        </w:rPr>
        <w:footnoteReference w:id="1"/>
      </w:r>
    </w:p>
    <w:p w14:paraId="647883DE" w14:textId="77777777" w:rsidR="009E264E" w:rsidRPr="00947CC1" w:rsidRDefault="009E264E" w:rsidP="009E264E">
      <w:pPr>
        <w:spacing w:after="0" w:line="240" w:lineRule="auto"/>
        <w:jc w:val="right"/>
        <w:rPr>
          <w:rFonts w:ascii="Times New Roman" w:hAnsi="Times New Roman" w:cs="Times New Roman"/>
          <w:i/>
          <w:sz w:val="24"/>
          <w:szCs w:val="24"/>
        </w:rPr>
      </w:pPr>
      <w:r w:rsidRPr="00947CC1">
        <w:rPr>
          <w:rFonts w:ascii="Times New Roman" w:hAnsi="Times New Roman" w:cs="Times New Roman"/>
          <w:i/>
          <w:sz w:val="24"/>
          <w:szCs w:val="24"/>
        </w:rPr>
        <w:t>Priscila Aparecida de Macêdo e Silva</w:t>
      </w:r>
      <w:r w:rsidRPr="00947CC1">
        <w:rPr>
          <w:rStyle w:val="Refdenotaderodap"/>
          <w:rFonts w:ascii="Times New Roman" w:hAnsi="Times New Roman" w:cs="Times New Roman"/>
          <w:i/>
          <w:sz w:val="20"/>
          <w:szCs w:val="20"/>
        </w:rPr>
        <w:footnoteReference w:id="2"/>
      </w:r>
    </w:p>
    <w:p w14:paraId="7E67D5EE" w14:textId="77777777" w:rsidR="009E264E" w:rsidRDefault="009E264E" w:rsidP="009E264E">
      <w:pPr>
        <w:jc w:val="center"/>
        <w:rPr>
          <w:rFonts w:ascii="Times New Roman" w:hAnsi="Times New Roman" w:cs="Times New Roman"/>
          <w:b/>
          <w:sz w:val="24"/>
          <w:szCs w:val="24"/>
        </w:rPr>
      </w:pPr>
    </w:p>
    <w:p w14:paraId="7086F615" w14:textId="77777777" w:rsidR="009E264E" w:rsidRPr="00947CC1" w:rsidRDefault="009E264E" w:rsidP="009E264E">
      <w:pPr>
        <w:jc w:val="center"/>
        <w:rPr>
          <w:rFonts w:ascii="Times New Roman" w:hAnsi="Times New Roman" w:cs="Times New Roman"/>
          <w:b/>
          <w:sz w:val="24"/>
          <w:szCs w:val="24"/>
        </w:rPr>
      </w:pPr>
    </w:p>
    <w:p w14:paraId="7AF7B8D2" w14:textId="4156E618" w:rsidR="001007D1" w:rsidRPr="00947CC1" w:rsidRDefault="001007D1" w:rsidP="001007D1">
      <w:pPr>
        <w:jc w:val="center"/>
        <w:rPr>
          <w:rFonts w:ascii="Times New Roman" w:hAnsi="Times New Roman" w:cs="Times New Roman"/>
          <w:sz w:val="24"/>
          <w:szCs w:val="24"/>
        </w:rPr>
      </w:pPr>
      <w:r w:rsidRPr="00947CC1">
        <w:rPr>
          <w:rFonts w:ascii="Times New Roman" w:hAnsi="Times New Roman" w:cs="Times New Roman"/>
          <w:sz w:val="24"/>
          <w:szCs w:val="24"/>
        </w:rPr>
        <w:t>RESUMO</w:t>
      </w:r>
    </w:p>
    <w:p w14:paraId="0C7A39A4" w14:textId="77777777" w:rsidR="001007D1" w:rsidRPr="00947CC1" w:rsidRDefault="001007D1" w:rsidP="001007D1">
      <w:pPr>
        <w:pStyle w:val="WW-Recuodecorpodetexto2"/>
        <w:spacing w:before="0" w:after="0" w:line="360" w:lineRule="auto"/>
        <w:jc w:val="both"/>
        <w:rPr>
          <w:rFonts w:cs="Times New Roman"/>
        </w:rPr>
      </w:pPr>
    </w:p>
    <w:p w14:paraId="48020B0A" w14:textId="77777777" w:rsidR="001007D1" w:rsidRPr="00947CC1" w:rsidRDefault="001007D1" w:rsidP="001007D1">
      <w:pPr>
        <w:pStyle w:val="WW-Recuodecorpodetexto2"/>
        <w:spacing w:before="0" w:after="0" w:line="360" w:lineRule="auto"/>
        <w:jc w:val="both"/>
        <w:rPr>
          <w:rFonts w:cs="Times New Roman"/>
        </w:rPr>
      </w:pPr>
    </w:p>
    <w:p w14:paraId="116E5CE5" w14:textId="77777777" w:rsidR="001007D1" w:rsidRPr="00947CC1" w:rsidRDefault="001007D1" w:rsidP="001007D1">
      <w:pPr>
        <w:pStyle w:val="WW-Recuodecorpodetexto2"/>
        <w:spacing w:before="0" w:after="0" w:line="360" w:lineRule="auto"/>
        <w:jc w:val="both"/>
        <w:rPr>
          <w:rFonts w:cs="Times New Roman"/>
        </w:rPr>
      </w:pPr>
    </w:p>
    <w:p w14:paraId="51EE83FF" w14:textId="6728E0BB" w:rsidR="001007D1" w:rsidRPr="00947CC1" w:rsidRDefault="001007D1" w:rsidP="001007D1">
      <w:pPr>
        <w:pStyle w:val="WW-Recuodecorpodetexto2"/>
        <w:spacing w:before="0" w:after="0" w:line="360" w:lineRule="auto"/>
        <w:jc w:val="both"/>
        <w:rPr>
          <w:rFonts w:cs="Times New Roman"/>
        </w:rPr>
      </w:pPr>
      <w:r w:rsidRPr="00947CC1">
        <w:rPr>
          <w:rFonts w:cs="Times New Roman"/>
        </w:rPr>
        <w:t xml:space="preserve">O </w:t>
      </w:r>
      <w:r w:rsidR="00877B1A" w:rsidRPr="00947CC1">
        <w:rPr>
          <w:rFonts w:cs="Times New Roman"/>
        </w:rPr>
        <w:t>artigo</w:t>
      </w:r>
      <w:r w:rsidRPr="00947CC1">
        <w:rPr>
          <w:rFonts w:cs="Times New Roman"/>
        </w:rPr>
        <w:t xml:space="preserve"> te</w:t>
      </w:r>
      <w:r w:rsidR="00877B1A" w:rsidRPr="00947CC1">
        <w:rPr>
          <w:rFonts w:cs="Times New Roman"/>
        </w:rPr>
        <w:t>m</w:t>
      </w:r>
      <w:r w:rsidRPr="00947CC1">
        <w:rPr>
          <w:rFonts w:cs="Times New Roman"/>
        </w:rPr>
        <w:t xml:space="preserve"> por objetivo estabelecer diretrizes </w:t>
      </w:r>
      <w:r w:rsidR="00877B1A" w:rsidRPr="00947CC1">
        <w:rPr>
          <w:rFonts w:cs="Times New Roman"/>
        </w:rPr>
        <w:t xml:space="preserve">gerais </w:t>
      </w:r>
      <w:r w:rsidRPr="00947CC1">
        <w:rPr>
          <w:rFonts w:cs="Times New Roman"/>
        </w:rPr>
        <w:t xml:space="preserve">de uma metodologia de análise de riscos </w:t>
      </w:r>
      <w:r w:rsidR="00877B1A" w:rsidRPr="00947CC1">
        <w:rPr>
          <w:rFonts w:cs="Times New Roman"/>
        </w:rPr>
        <w:t xml:space="preserve">ao </w:t>
      </w:r>
      <w:r w:rsidR="006E0B57" w:rsidRPr="00947CC1">
        <w:rPr>
          <w:rFonts w:cs="Times New Roman"/>
        </w:rPr>
        <w:t>apresentar</w:t>
      </w:r>
      <w:r w:rsidR="00877B1A" w:rsidRPr="00947CC1">
        <w:rPr>
          <w:rFonts w:cs="Times New Roman"/>
        </w:rPr>
        <w:t xml:space="preserve"> orientações sobre como garantir que as atividades de gestão e governança das fronteiras cumpram os padrões de direitos humanos ao mesmo tempo em que permite</w:t>
      </w:r>
      <w:r w:rsidR="006E0B57" w:rsidRPr="00947CC1">
        <w:rPr>
          <w:rFonts w:cs="Times New Roman"/>
        </w:rPr>
        <w:t>m</w:t>
      </w:r>
      <w:r w:rsidR="00877B1A" w:rsidRPr="00947CC1">
        <w:rPr>
          <w:rFonts w:cs="Times New Roman"/>
        </w:rPr>
        <w:t xml:space="preserve"> assegurar a segurança nacional. </w:t>
      </w:r>
      <w:r w:rsidR="00C444C5" w:rsidRPr="00947CC1">
        <w:rPr>
          <w:rFonts w:cs="Times New Roman"/>
        </w:rPr>
        <w:t>Dessa forma, a iniciativa vem no sentido de expor a relevância de um processo estruturado para medir os riscos relacionados à proteção dos direitos fundamentais dos migrantes e no interesse legítimo dos países em salvaguardar as suas fronteiras. Trata-se da convergência entre os direitos humanos e a segurança nacional na busca pela eficiência de uma Gestão Coordenada de Fronteiras.</w:t>
      </w:r>
    </w:p>
    <w:p w14:paraId="7AB99117" w14:textId="77777777" w:rsidR="00A204E9" w:rsidRPr="00947CC1" w:rsidRDefault="00A204E9" w:rsidP="001007D1">
      <w:pPr>
        <w:pStyle w:val="WW-Recuodecorpodetexto2"/>
        <w:spacing w:before="0" w:after="0" w:line="360" w:lineRule="auto"/>
        <w:jc w:val="both"/>
        <w:rPr>
          <w:rFonts w:cs="Times New Roman"/>
        </w:rPr>
      </w:pPr>
    </w:p>
    <w:p w14:paraId="162AC095" w14:textId="77777777" w:rsidR="00C444C5" w:rsidRPr="00947CC1" w:rsidRDefault="00C444C5" w:rsidP="001007D1">
      <w:pPr>
        <w:pStyle w:val="WW-Recuodecorpodetexto2"/>
        <w:spacing w:before="0" w:after="0" w:line="360" w:lineRule="auto"/>
        <w:jc w:val="both"/>
        <w:rPr>
          <w:rFonts w:cs="Times New Roman"/>
        </w:rPr>
      </w:pPr>
    </w:p>
    <w:p w14:paraId="144C2482" w14:textId="77777777" w:rsidR="001007D1" w:rsidRPr="00947CC1" w:rsidRDefault="001007D1" w:rsidP="001007D1">
      <w:pPr>
        <w:pStyle w:val="WW-Recuodecorpodetexto2"/>
        <w:spacing w:before="0" w:after="0" w:line="360" w:lineRule="auto"/>
        <w:jc w:val="both"/>
        <w:rPr>
          <w:rFonts w:cs="Times New Roman"/>
        </w:rPr>
      </w:pPr>
    </w:p>
    <w:p w14:paraId="48214540" w14:textId="77777777" w:rsidR="001007D1" w:rsidRPr="00947CC1" w:rsidRDefault="001007D1" w:rsidP="001007D1">
      <w:pPr>
        <w:pStyle w:val="WW-Recuodecorpodetexto2"/>
        <w:spacing w:before="0" w:after="0" w:line="360" w:lineRule="auto"/>
        <w:jc w:val="both"/>
        <w:rPr>
          <w:rFonts w:cs="Times New Roman"/>
        </w:rPr>
      </w:pPr>
    </w:p>
    <w:p w14:paraId="3F6A80AA" w14:textId="1713BC6F" w:rsidR="001007D1" w:rsidRPr="00947CC1" w:rsidRDefault="001007D1" w:rsidP="001007D1">
      <w:pPr>
        <w:pStyle w:val="WW-Recuodecorpodetexto2"/>
        <w:spacing w:before="0" w:after="0" w:line="360" w:lineRule="auto"/>
        <w:jc w:val="both"/>
        <w:rPr>
          <w:rFonts w:cs="Times New Roman"/>
        </w:rPr>
      </w:pPr>
      <w:r w:rsidRPr="00947CC1">
        <w:rPr>
          <w:rFonts w:cs="Times New Roman"/>
        </w:rPr>
        <w:t>Palavras-chave: Análise de Riscos. Gestão de Riscos. Gestão Coordenada de Fronteiras. Direitos Humanos</w:t>
      </w:r>
      <w:r w:rsidR="00C92A93" w:rsidRPr="00947CC1">
        <w:rPr>
          <w:rFonts w:cs="Times New Roman"/>
        </w:rPr>
        <w:t>.</w:t>
      </w:r>
    </w:p>
    <w:p w14:paraId="328DC72A" w14:textId="156ED003" w:rsidR="009A362D" w:rsidRPr="00F83317" w:rsidRDefault="009A362D" w:rsidP="00EB6F02">
      <w:pPr>
        <w:shd w:val="clear" w:color="auto" w:fill="FFFFFF"/>
        <w:ind w:left="720" w:hanging="360"/>
        <w:textAlignment w:val="baseline"/>
        <w:rPr>
          <w:rFonts w:ascii="Times New Roman" w:hAnsi="Times New Roman" w:cs="Times New Roman"/>
          <w:sz w:val="24"/>
          <w:szCs w:val="24"/>
        </w:rPr>
      </w:pPr>
    </w:p>
    <w:p w14:paraId="3381BB34" w14:textId="77777777" w:rsidR="00781BD7" w:rsidRDefault="00781BD7" w:rsidP="00F83317">
      <w:pPr>
        <w:shd w:val="clear" w:color="auto" w:fill="FFFFFF"/>
        <w:textAlignment w:val="baseline"/>
        <w:rPr>
          <w:rFonts w:ascii="Times New Roman" w:hAnsi="Times New Roman" w:cs="Times New Roman"/>
          <w:sz w:val="24"/>
          <w:szCs w:val="24"/>
        </w:rPr>
      </w:pPr>
      <w:bookmarkStart w:id="0" w:name="_GoBack"/>
      <w:bookmarkEnd w:id="0"/>
    </w:p>
    <w:p w14:paraId="4ABF7292" w14:textId="77777777" w:rsidR="007D2DDB" w:rsidRDefault="007D2DDB" w:rsidP="00F83317">
      <w:pPr>
        <w:shd w:val="clear" w:color="auto" w:fill="FFFFFF"/>
        <w:textAlignment w:val="baseline"/>
        <w:rPr>
          <w:rFonts w:ascii="Times New Roman" w:hAnsi="Times New Roman" w:cs="Times New Roman"/>
          <w:sz w:val="24"/>
          <w:szCs w:val="24"/>
        </w:rPr>
      </w:pPr>
    </w:p>
    <w:p w14:paraId="3286CD0F" w14:textId="787591C3" w:rsidR="007D2DDB" w:rsidRDefault="007D2DDB" w:rsidP="00F83317">
      <w:pPr>
        <w:shd w:val="clear" w:color="auto" w:fill="FFFFFF"/>
        <w:textAlignment w:val="baseline"/>
        <w:rPr>
          <w:rFonts w:ascii="Times New Roman" w:hAnsi="Times New Roman" w:cs="Times New Roman"/>
          <w:sz w:val="24"/>
          <w:szCs w:val="24"/>
        </w:rPr>
      </w:pPr>
    </w:p>
    <w:p w14:paraId="5165D376" w14:textId="77777777" w:rsidR="007D2DDB" w:rsidRPr="00F83317" w:rsidRDefault="007D2DDB" w:rsidP="00F83317">
      <w:pPr>
        <w:shd w:val="clear" w:color="auto" w:fill="FFFFFF"/>
        <w:textAlignment w:val="baseline"/>
        <w:rPr>
          <w:rFonts w:ascii="Times New Roman" w:hAnsi="Times New Roman" w:cs="Times New Roman"/>
          <w:sz w:val="24"/>
          <w:szCs w:val="24"/>
        </w:rPr>
      </w:pPr>
    </w:p>
    <w:p w14:paraId="666124FE" w14:textId="77777777" w:rsidR="00781BD7" w:rsidRDefault="00781BD7">
      <w:pPr>
        <w:rPr>
          <w:rFonts w:ascii="Times New Roman" w:eastAsia="Times New Roman" w:hAnsi="Times New Roman" w:cs="Times New Roman"/>
          <w:b/>
          <w:color w:val="444444"/>
          <w:sz w:val="24"/>
          <w:szCs w:val="24"/>
          <w:lang w:eastAsia="pt-BR"/>
        </w:rPr>
      </w:pPr>
      <w:r>
        <w:rPr>
          <w:b/>
          <w:color w:val="444444"/>
        </w:rPr>
        <w:br w:type="page"/>
      </w:r>
    </w:p>
    <w:p w14:paraId="400F00FC" w14:textId="239D58B7" w:rsidR="00EB6F02" w:rsidRPr="00947CC1" w:rsidRDefault="009A362D" w:rsidP="00EB6F02">
      <w:pPr>
        <w:pStyle w:val="NormalWeb"/>
        <w:numPr>
          <w:ilvl w:val="0"/>
          <w:numId w:val="1"/>
        </w:numPr>
        <w:shd w:val="clear" w:color="auto" w:fill="FFFFFF"/>
        <w:textAlignment w:val="baseline"/>
        <w:rPr>
          <w:b/>
          <w:color w:val="444444"/>
        </w:rPr>
      </w:pPr>
      <w:r w:rsidRPr="00947CC1">
        <w:rPr>
          <w:b/>
          <w:color w:val="444444"/>
        </w:rPr>
        <w:lastRenderedPageBreak/>
        <w:t>Introdução</w:t>
      </w:r>
    </w:p>
    <w:p w14:paraId="4B98839A" w14:textId="77777777" w:rsidR="001D1367" w:rsidRPr="00947CC1" w:rsidRDefault="001D1367" w:rsidP="00EB6F02">
      <w:pPr>
        <w:spacing w:before="100" w:after="100" w:line="360" w:lineRule="auto"/>
        <w:jc w:val="both"/>
        <w:rPr>
          <w:rFonts w:ascii="Times New Roman" w:hAnsi="Times New Roman" w:cs="Times New Roman"/>
        </w:rPr>
      </w:pPr>
    </w:p>
    <w:p w14:paraId="367482D9" w14:textId="1EADEBD2" w:rsidR="003B10E3" w:rsidRPr="00947CC1" w:rsidRDefault="003B10E3"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A migração internacional </w:t>
      </w:r>
      <w:r w:rsidR="000473C1" w:rsidRPr="00947CC1">
        <w:rPr>
          <w:rFonts w:ascii="Times New Roman" w:hAnsi="Times New Roman" w:cs="Times New Roman"/>
          <w:sz w:val="24"/>
          <w:szCs w:val="24"/>
        </w:rPr>
        <w:t>está intimamente ligad</w:t>
      </w:r>
      <w:r w:rsidR="00D97ABF" w:rsidRPr="00947CC1">
        <w:rPr>
          <w:rFonts w:ascii="Times New Roman" w:hAnsi="Times New Roman" w:cs="Times New Roman"/>
          <w:sz w:val="24"/>
          <w:szCs w:val="24"/>
        </w:rPr>
        <w:t>a</w:t>
      </w:r>
      <w:r w:rsidR="000473C1" w:rsidRPr="00947CC1">
        <w:rPr>
          <w:rFonts w:ascii="Times New Roman" w:hAnsi="Times New Roman" w:cs="Times New Roman"/>
          <w:sz w:val="24"/>
          <w:szCs w:val="24"/>
        </w:rPr>
        <w:t xml:space="preserve"> à </w:t>
      </w:r>
      <w:r w:rsidR="00C444C5" w:rsidRPr="00947CC1">
        <w:rPr>
          <w:rFonts w:ascii="Times New Roman" w:hAnsi="Times New Roman" w:cs="Times New Roman"/>
          <w:sz w:val="24"/>
          <w:szCs w:val="24"/>
        </w:rPr>
        <w:t>história</w:t>
      </w:r>
      <w:r w:rsidR="000473C1" w:rsidRPr="00947CC1">
        <w:rPr>
          <w:rFonts w:ascii="Times New Roman" w:hAnsi="Times New Roman" w:cs="Times New Roman"/>
          <w:sz w:val="24"/>
          <w:szCs w:val="24"/>
        </w:rPr>
        <w:t xml:space="preserve"> da humanidade</w:t>
      </w:r>
      <w:r w:rsidR="00872EE4" w:rsidRPr="00947CC1">
        <w:rPr>
          <w:rFonts w:ascii="Times New Roman" w:hAnsi="Times New Roman" w:cs="Times New Roman"/>
          <w:sz w:val="24"/>
          <w:szCs w:val="24"/>
        </w:rPr>
        <w:t xml:space="preserve">. </w:t>
      </w:r>
      <w:r w:rsidR="00C31A86">
        <w:rPr>
          <w:rFonts w:ascii="Times New Roman" w:hAnsi="Times New Roman" w:cs="Times New Roman"/>
          <w:sz w:val="24"/>
          <w:szCs w:val="24"/>
        </w:rPr>
        <w:t>É c</w:t>
      </w:r>
      <w:r w:rsidR="00C167F6" w:rsidRPr="00947CC1">
        <w:rPr>
          <w:rFonts w:ascii="Times New Roman" w:hAnsi="Times New Roman" w:cs="Times New Roman"/>
          <w:sz w:val="24"/>
          <w:szCs w:val="24"/>
        </w:rPr>
        <w:t>onsiderada como</w:t>
      </w:r>
      <w:r w:rsidRPr="00947CC1">
        <w:rPr>
          <w:rFonts w:ascii="Times New Roman" w:hAnsi="Times New Roman" w:cs="Times New Roman"/>
          <w:sz w:val="24"/>
          <w:szCs w:val="24"/>
        </w:rPr>
        <w:t xml:space="preserve"> um fenômeno diversificado e complexo</w:t>
      </w:r>
      <w:r w:rsidR="00C167F6" w:rsidRPr="00947CC1">
        <w:rPr>
          <w:rFonts w:ascii="Times New Roman" w:hAnsi="Times New Roman" w:cs="Times New Roman"/>
          <w:sz w:val="24"/>
          <w:szCs w:val="24"/>
        </w:rPr>
        <w:t xml:space="preserve">, </w:t>
      </w:r>
      <w:r w:rsidR="00A842F5" w:rsidRPr="00947CC1">
        <w:rPr>
          <w:rFonts w:ascii="Times New Roman" w:hAnsi="Times New Roman" w:cs="Times New Roman"/>
          <w:sz w:val="24"/>
          <w:szCs w:val="24"/>
        </w:rPr>
        <w:t>já que</w:t>
      </w:r>
      <w:r w:rsidR="00C167F6" w:rsidRPr="00947CC1">
        <w:rPr>
          <w:rFonts w:ascii="Times New Roman" w:hAnsi="Times New Roman" w:cs="Times New Roman"/>
          <w:sz w:val="24"/>
          <w:szCs w:val="24"/>
        </w:rPr>
        <w:t xml:space="preserve"> possui</w:t>
      </w:r>
      <w:r w:rsidRPr="00947CC1">
        <w:rPr>
          <w:rFonts w:ascii="Times New Roman" w:hAnsi="Times New Roman" w:cs="Times New Roman"/>
          <w:sz w:val="24"/>
          <w:szCs w:val="24"/>
        </w:rPr>
        <w:t xml:space="preserve"> distintas causas, como econômica, religiosa, cultural, política, desastres naturais ou simplesmente pela expansão </w:t>
      </w:r>
      <w:r w:rsidR="004556A3" w:rsidRPr="00947CC1">
        <w:rPr>
          <w:rFonts w:ascii="Times New Roman" w:hAnsi="Times New Roman" w:cs="Times New Roman"/>
          <w:sz w:val="24"/>
          <w:szCs w:val="24"/>
        </w:rPr>
        <w:t>populacional. O presente</w:t>
      </w:r>
      <w:r w:rsidRPr="00947CC1">
        <w:rPr>
          <w:rFonts w:ascii="Times New Roman" w:hAnsi="Times New Roman" w:cs="Times New Roman"/>
          <w:sz w:val="24"/>
          <w:szCs w:val="24"/>
        </w:rPr>
        <w:t xml:space="preserve"> trabalho aborda a temática sob o foco da convergência entre </w:t>
      </w:r>
      <w:r w:rsidR="00D22330" w:rsidRPr="00947CC1">
        <w:rPr>
          <w:rFonts w:ascii="Times New Roman" w:hAnsi="Times New Roman" w:cs="Times New Roman"/>
          <w:sz w:val="24"/>
          <w:szCs w:val="24"/>
        </w:rPr>
        <w:t xml:space="preserve">os direitos humanos </w:t>
      </w:r>
      <w:r w:rsidR="009379D9" w:rsidRPr="00947CC1">
        <w:rPr>
          <w:rFonts w:ascii="Times New Roman" w:hAnsi="Times New Roman" w:cs="Times New Roman"/>
          <w:sz w:val="24"/>
          <w:szCs w:val="24"/>
        </w:rPr>
        <w:t xml:space="preserve">e </w:t>
      </w:r>
      <w:r w:rsidR="00C167F6" w:rsidRPr="00947CC1">
        <w:rPr>
          <w:rFonts w:ascii="Times New Roman" w:hAnsi="Times New Roman" w:cs="Times New Roman"/>
          <w:sz w:val="24"/>
          <w:szCs w:val="24"/>
        </w:rPr>
        <w:t>a segurança nacional</w:t>
      </w:r>
      <w:r w:rsidRPr="00947CC1">
        <w:rPr>
          <w:rFonts w:ascii="Times New Roman" w:hAnsi="Times New Roman" w:cs="Times New Roman"/>
          <w:sz w:val="24"/>
          <w:szCs w:val="24"/>
        </w:rPr>
        <w:t>, ao identificar ferramentas para uma gestão adequada de fronteiras de maneira integrada, segura, coordenada e digna</w:t>
      </w:r>
      <w:r w:rsidR="00E76574" w:rsidRPr="00947CC1">
        <w:rPr>
          <w:rFonts w:ascii="Times New Roman" w:hAnsi="Times New Roman" w:cs="Times New Roman"/>
          <w:sz w:val="24"/>
          <w:szCs w:val="24"/>
        </w:rPr>
        <w:t xml:space="preserve"> em um contexto transversal</w:t>
      </w:r>
      <w:r w:rsidR="00795BE8">
        <w:rPr>
          <w:rFonts w:ascii="Times New Roman" w:hAnsi="Times New Roman" w:cs="Times New Roman"/>
          <w:sz w:val="24"/>
          <w:szCs w:val="24"/>
        </w:rPr>
        <w:t xml:space="preserve">, contribuindo, portanto, com a reflexão acerca da necessidade do uso de ferramentas como a de Análise de Riscos para assegurar uma adequada gestão coordenada de fronteiras, com respeito aos direitos humanos e </w:t>
      </w:r>
      <w:r w:rsidR="00225153">
        <w:rPr>
          <w:rFonts w:ascii="Times New Roman" w:hAnsi="Times New Roman" w:cs="Times New Roman"/>
          <w:sz w:val="24"/>
          <w:szCs w:val="24"/>
        </w:rPr>
        <w:t>à</w:t>
      </w:r>
      <w:r w:rsidR="00795BE8">
        <w:rPr>
          <w:rFonts w:ascii="Times New Roman" w:hAnsi="Times New Roman" w:cs="Times New Roman"/>
          <w:sz w:val="24"/>
          <w:szCs w:val="24"/>
        </w:rPr>
        <w:t xml:space="preserve"> segurança do país</w:t>
      </w:r>
      <w:r w:rsidR="00E76574" w:rsidRPr="00947CC1">
        <w:rPr>
          <w:rFonts w:ascii="Times New Roman" w:hAnsi="Times New Roman" w:cs="Times New Roman"/>
          <w:sz w:val="24"/>
          <w:szCs w:val="24"/>
        </w:rPr>
        <w:t>.</w:t>
      </w:r>
    </w:p>
    <w:p w14:paraId="4267528B" w14:textId="6CA7DB9B" w:rsidR="009A362D" w:rsidRPr="00947CC1" w:rsidRDefault="00E76574"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Os deslocamentos de pessoas</w:t>
      </w:r>
      <w:r w:rsidR="00C167F6" w:rsidRPr="00947CC1">
        <w:rPr>
          <w:rFonts w:ascii="Times New Roman" w:hAnsi="Times New Roman" w:cs="Times New Roman"/>
          <w:sz w:val="24"/>
          <w:szCs w:val="24"/>
        </w:rPr>
        <w:t xml:space="preserve"> são frequentemente necessários e </w:t>
      </w:r>
      <w:r w:rsidR="00C167F6" w:rsidRPr="006E565B">
        <w:rPr>
          <w:rFonts w:ascii="Times New Roman" w:hAnsi="Times New Roman" w:cs="Times New Roman"/>
          <w:sz w:val="24"/>
          <w:szCs w:val="24"/>
        </w:rPr>
        <w:t>desejados pelos países</w:t>
      </w:r>
      <w:r w:rsidR="006632D0">
        <w:rPr>
          <w:rFonts w:ascii="Times New Roman" w:hAnsi="Times New Roman" w:cs="Times New Roman"/>
          <w:sz w:val="24"/>
          <w:szCs w:val="24"/>
        </w:rPr>
        <w:t xml:space="preserve"> no contexto da globalização</w:t>
      </w:r>
      <w:r w:rsidR="00744BD6">
        <w:rPr>
          <w:rFonts w:ascii="Times New Roman" w:hAnsi="Times New Roman" w:cs="Times New Roman"/>
          <w:sz w:val="24"/>
          <w:szCs w:val="24"/>
        </w:rPr>
        <w:t xml:space="preserve"> (</w:t>
      </w:r>
      <w:r w:rsidR="00915372">
        <w:rPr>
          <w:rFonts w:ascii="Times New Roman" w:hAnsi="Times New Roman" w:cs="Times New Roman"/>
          <w:sz w:val="24"/>
          <w:szCs w:val="24"/>
        </w:rPr>
        <w:t>MARTINE</w:t>
      </w:r>
      <w:r w:rsidR="00744BD6">
        <w:rPr>
          <w:rFonts w:ascii="Times New Roman" w:hAnsi="Times New Roman" w:cs="Times New Roman"/>
          <w:sz w:val="24"/>
          <w:szCs w:val="24"/>
        </w:rPr>
        <w:t>, 200</w:t>
      </w:r>
      <w:r w:rsidR="00915372">
        <w:rPr>
          <w:rFonts w:ascii="Times New Roman" w:hAnsi="Times New Roman" w:cs="Times New Roman"/>
          <w:sz w:val="24"/>
          <w:szCs w:val="24"/>
        </w:rPr>
        <w:t>5</w:t>
      </w:r>
      <w:r w:rsidR="00744BD6">
        <w:rPr>
          <w:rFonts w:ascii="Times New Roman" w:hAnsi="Times New Roman" w:cs="Times New Roman"/>
          <w:sz w:val="24"/>
          <w:szCs w:val="24"/>
        </w:rPr>
        <w:t>)</w:t>
      </w:r>
      <w:r w:rsidRPr="00947CC1">
        <w:rPr>
          <w:rFonts w:ascii="Times New Roman" w:hAnsi="Times New Roman" w:cs="Times New Roman"/>
          <w:sz w:val="24"/>
          <w:szCs w:val="24"/>
        </w:rPr>
        <w:t xml:space="preserve">, em que pese a existência equivocada de argumentos como invasão migratória, riscos de desemprego, a perda da identidade nacional, aumento de crime ou até mesmo do terrorismo. </w:t>
      </w:r>
      <w:r w:rsidR="00A7372C" w:rsidRPr="00947CC1">
        <w:rPr>
          <w:rFonts w:ascii="Times New Roman" w:hAnsi="Times New Roman" w:cs="Times New Roman"/>
          <w:sz w:val="24"/>
          <w:szCs w:val="24"/>
        </w:rPr>
        <w:t>A intensificação dos fluxos migratórios internacionais das últimas décadas provocou o aumento do número de países orientados a regulamentar e até a reduzir a imigração</w:t>
      </w:r>
      <w:r w:rsidR="00A85348">
        <w:rPr>
          <w:rFonts w:ascii="Times New Roman" w:hAnsi="Times New Roman" w:cs="Times New Roman"/>
          <w:sz w:val="24"/>
          <w:szCs w:val="24"/>
        </w:rPr>
        <w:t xml:space="preserve"> (CORREIA, 2009)</w:t>
      </w:r>
      <w:r w:rsidR="00A7372C" w:rsidRPr="00947CC1">
        <w:rPr>
          <w:rFonts w:ascii="Times New Roman" w:hAnsi="Times New Roman" w:cs="Times New Roman"/>
          <w:sz w:val="24"/>
          <w:szCs w:val="24"/>
        </w:rPr>
        <w:t>.</w:t>
      </w:r>
    </w:p>
    <w:p w14:paraId="0D44FF0E" w14:textId="30972F70" w:rsidR="00B17FAB" w:rsidRDefault="00562D8E"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Acerca </w:t>
      </w:r>
      <w:r w:rsidR="00684EDF" w:rsidRPr="00947CC1">
        <w:rPr>
          <w:rFonts w:ascii="Times New Roman" w:hAnsi="Times New Roman" w:cs="Times New Roman"/>
          <w:sz w:val="24"/>
          <w:szCs w:val="24"/>
        </w:rPr>
        <w:t xml:space="preserve">dos deslocamentos, </w:t>
      </w:r>
      <w:r w:rsidR="00C13CF7" w:rsidRPr="00947CC1">
        <w:rPr>
          <w:rFonts w:ascii="Times New Roman" w:hAnsi="Times New Roman" w:cs="Times New Roman"/>
          <w:sz w:val="24"/>
          <w:szCs w:val="24"/>
        </w:rPr>
        <w:t xml:space="preserve">o South American </w:t>
      </w:r>
      <w:proofErr w:type="spellStart"/>
      <w:r w:rsidR="00C13CF7" w:rsidRPr="00947CC1">
        <w:rPr>
          <w:rFonts w:ascii="Times New Roman" w:hAnsi="Times New Roman" w:cs="Times New Roman"/>
          <w:sz w:val="24"/>
          <w:szCs w:val="24"/>
        </w:rPr>
        <w:t>Migration</w:t>
      </w:r>
      <w:proofErr w:type="spellEnd"/>
      <w:r w:rsidR="00C13CF7" w:rsidRPr="00947CC1">
        <w:rPr>
          <w:rFonts w:ascii="Times New Roman" w:hAnsi="Times New Roman" w:cs="Times New Roman"/>
          <w:sz w:val="24"/>
          <w:szCs w:val="24"/>
        </w:rPr>
        <w:t xml:space="preserve"> </w:t>
      </w:r>
      <w:proofErr w:type="spellStart"/>
      <w:r w:rsidR="00C13CF7" w:rsidRPr="00947CC1">
        <w:rPr>
          <w:rFonts w:ascii="Times New Roman" w:hAnsi="Times New Roman" w:cs="Times New Roman"/>
          <w:sz w:val="24"/>
          <w:szCs w:val="24"/>
        </w:rPr>
        <w:t>Report</w:t>
      </w:r>
      <w:proofErr w:type="spellEnd"/>
      <w:r w:rsidR="00C13CF7" w:rsidRPr="00947CC1">
        <w:rPr>
          <w:rFonts w:ascii="Times New Roman" w:hAnsi="Times New Roman" w:cs="Times New Roman"/>
          <w:sz w:val="24"/>
          <w:szCs w:val="24"/>
        </w:rPr>
        <w:t xml:space="preserve"> nº 3</w:t>
      </w:r>
      <w:r w:rsidR="00C13CF7">
        <w:rPr>
          <w:rFonts w:ascii="Times New Roman" w:hAnsi="Times New Roman" w:cs="Times New Roman"/>
          <w:sz w:val="24"/>
          <w:szCs w:val="24"/>
        </w:rPr>
        <w:t xml:space="preserve"> </w:t>
      </w:r>
      <w:r w:rsidR="00C13CF7" w:rsidRPr="00947CC1">
        <w:rPr>
          <w:rFonts w:ascii="Times New Roman" w:hAnsi="Times New Roman" w:cs="Times New Roman"/>
          <w:sz w:val="24"/>
          <w:szCs w:val="24"/>
        </w:rPr>
        <w:t>(OIM</w:t>
      </w:r>
      <w:r w:rsidR="00C13CF7">
        <w:rPr>
          <w:rFonts w:ascii="Times New Roman" w:hAnsi="Times New Roman" w:cs="Times New Roman"/>
          <w:sz w:val="24"/>
          <w:szCs w:val="24"/>
        </w:rPr>
        <w:t>, 2020</w:t>
      </w:r>
      <w:r w:rsidR="00C13CF7" w:rsidRPr="00947CC1">
        <w:rPr>
          <w:rFonts w:ascii="Times New Roman" w:hAnsi="Times New Roman" w:cs="Times New Roman"/>
          <w:sz w:val="24"/>
          <w:szCs w:val="24"/>
        </w:rPr>
        <w:t>)</w:t>
      </w:r>
      <w:r w:rsidR="00C13CF7">
        <w:rPr>
          <w:rFonts w:ascii="Times New Roman" w:hAnsi="Times New Roman" w:cs="Times New Roman"/>
          <w:sz w:val="24"/>
          <w:szCs w:val="24"/>
        </w:rPr>
        <w:t xml:space="preserve"> indica que </w:t>
      </w:r>
      <w:r w:rsidR="00684EDF" w:rsidRPr="00947CC1">
        <w:rPr>
          <w:rFonts w:ascii="Times New Roman" w:hAnsi="Times New Roman" w:cs="Times New Roman"/>
          <w:sz w:val="24"/>
          <w:szCs w:val="24"/>
        </w:rPr>
        <w:t>a</w:t>
      </w:r>
      <w:r w:rsidR="00A45F63" w:rsidRPr="00947CC1">
        <w:rPr>
          <w:rFonts w:ascii="Times New Roman" w:hAnsi="Times New Roman" w:cs="Times New Roman"/>
          <w:sz w:val="24"/>
          <w:szCs w:val="24"/>
        </w:rPr>
        <w:t xml:space="preserve"> América do Sul</w:t>
      </w:r>
      <w:r w:rsidR="00684EDF" w:rsidRPr="00947CC1">
        <w:rPr>
          <w:rFonts w:ascii="Times New Roman" w:hAnsi="Times New Roman" w:cs="Times New Roman"/>
          <w:sz w:val="24"/>
          <w:szCs w:val="24"/>
        </w:rPr>
        <w:t xml:space="preserve"> </w:t>
      </w:r>
      <w:r w:rsidR="00A45F63" w:rsidRPr="00947CC1">
        <w:rPr>
          <w:rFonts w:ascii="Times New Roman" w:hAnsi="Times New Roman" w:cs="Times New Roman"/>
          <w:sz w:val="24"/>
          <w:szCs w:val="24"/>
        </w:rPr>
        <w:t>tem sido uma região de origem, trânsito e destino de migrantes internacionais</w:t>
      </w:r>
      <w:r w:rsidR="00796B4C" w:rsidRPr="00947CC1">
        <w:rPr>
          <w:rFonts w:ascii="Times New Roman" w:hAnsi="Times New Roman" w:cs="Times New Roman"/>
          <w:sz w:val="24"/>
          <w:szCs w:val="24"/>
        </w:rPr>
        <w:t>, em torno de 10 milh</w:t>
      </w:r>
      <w:r w:rsidR="003E1A53" w:rsidRPr="00947CC1">
        <w:rPr>
          <w:rFonts w:ascii="Times New Roman" w:hAnsi="Times New Roman" w:cs="Times New Roman"/>
          <w:sz w:val="24"/>
          <w:szCs w:val="24"/>
        </w:rPr>
        <w:t>ões de pessoa</w:t>
      </w:r>
      <w:r w:rsidR="00796B4C" w:rsidRPr="00947CC1">
        <w:rPr>
          <w:rFonts w:ascii="Times New Roman" w:hAnsi="Times New Roman" w:cs="Times New Roman"/>
          <w:sz w:val="24"/>
          <w:szCs w:val="24"/>
        </w:rPr>
        <w:t>s de diferentes países.</w:t>
      </w:r>
      <w:r w:rsidR="00A45F63" w:rsidRPr="00947CC1">
        <w:rPr>
          <w:rFonts w:ascii="Times New Roman" w:hAnsi="Times New Roman" w:cs="Times New Roman"/>
          <w:sz w:val="24"/>
          <w:szCs w:val="24"/>
        </w:rPr>
        <w:t xml:space="preserve"> </w:t>
      </w:r>
      <w:r w:rsidR="00A45F63" w:rsidRPr="00ED5A96">
        <w:rPr>
          <w:rFonts w:ascii="Times New Roman" w:hAnsi="Times New Roman" w:cs="Times New Roman"/>
          <w:sz w:val="24"/>
          <w:szCs w:val="24"/>
        </w:rPr>
        <w:t xml:space="preserve">No </w:t>
      </w:r>
      <w:r w:rsidR="00C13CF7">
        <w:rPr>
          <w:rFonts w:ascii="Times New Roman" w:hAnsi="Times New Roman" w:cs="Times New Roman"/>
          <w:sz w:val="24"/>
          <w:szCs w:val="24"/>
        </w:rPr>
        <w:t>referido</w:t>
      </w:r>
      <w:r w:rsidR="00C13CF7" w:rsidRPr="00ED5A96">
        <w:rPr>
          <w:rFonts w:ascii="Times New Roman" w:hAnsi="Times New Roman" w:cs="Times New Roman"/>
          <w:sz w:val="24"/>
          <w:szCs w:val="24"/>
        </w:rPr>
        <w:t xml:space="preserve"> </w:t>
      </w:r>
      <w:r w:rsidR="00A45F63" w:rsidRPr="00ED5A96">
        <w:rPr>
          <w:rFonts w:ascii="Times New Roman" w:hAnsi="Times New Roman" w:cs="Times New Roman"/>
          <w:sz w:val="24"/>
          <w:szCs w:val="24"/>
        </w:rPr>
        <w:t>relatório sobre tendências de migração na América</w:t>
      </w:r>
      <w:r w:rsidR="00A45F63" w:rsidRPr="00947CC1">
        <w:rPr>
          <w:rFonts w:ascii="Times New Roman" w:hAnsi="Times New Roman" w:cs="Times New Roman"/>
          <w:sz w:val="24"/>
          <w:szCs w:val="24"/>
        </w:rPr>
        <w:t>, houve o cotejo entre os anos de 2010 e 2019 e restou consignado que a migraç</w:t>
      </w:r>
      <w:r w:rsidR="00A8306E" w:rsidRPr="00947CC1">
        <w:rPr>
          <w:rFonts w:ascii="Times New Roman" w:hAnsi="Times New Roman" w:cs="Times New Roman"/>
          <w:sz w:val="24"/>
          <w:szCs w:val="24"/>
        </w:rPr>
        <w:t xml:space="preserve">ão </w:t>
      </w:r>
      <w:proofErr w:type="spellStart"/>
      <w:r w:rsidR="00A8306E" w:rsidRPr="00947CC1">
        <w:rPr>
          <w:rFonts w:ascii="Times New Roman" w:hAnsi="Times New Roman" w:cs="Times New Roman"/>
          <w:sz w:val="24"/>
          <w:szCs w:val="24"/>
        </w:rPr>
        <w:t>intrar</w:t>
      </w:r>
      <w:r w:rsidR="00A45F63" w:rsidRPr="00947CC1">
        <w:rPr>
          <w:rFonts w:ascii="Times New Roman" w:hAnsi="Times New Roman" w:cs="Times New Roman"/>
          <w:sz w:val="24"/>
          <w:szCs w:val="24"/>
        </w:rPr>
        <w:t>regional</w:t>
      </w:r>
      <w:proofErr w:type="spellEnd"/>
      <w:r w:rsidR="00A45F63" w:rsidRPr="00947CC1">
        <w:rPr>
          <w:rFonts w:ascii="Times New Roman" w:hAnsi="Times New Roman" w:cs="Times New Roman"/>
          <w:sz w:val="24"/>
          <w:szCs w:val="24"/>
        </w:rPr>
        <w:t xml:space="preserve"> cresceu </w:t>
      </w:r>
      <w:r w:rsidRPr="00947CC1">
        <w:rPr>
          <w:rFonts w:ascii="Times New Roman" w:hAnsi="Times New Roman" w:cs="Times New Roman"/>
          <w:sz w:val="24"/>
          <w:szCs w:val="24"/>
        </w:rPr>
        <w:t>em grau superior</w:t>
      </w:r>
      <w:r w:rsidR="00A45F63" w:rsidRPr="00947CC1">
        <w:rPr>
          <w:rFonts w:ascii="Times New Roman" w:hAnsi="Times New Roman" w:cs="Times New Roman"/>
          <w:sz w:val="24"/>
          <w:szCs w:val="24"/>
        </w:rPr>
        <w:t xml:space="preserve"> </w:t>
      </w:r>
      <w:r w:rsidR="003E1A53" w:rsidRPr="00947CC1">
        <w:rPr>
          <w:rFonts w:ascii="Times New Roman" w:hAnsi="Times New Roman" w:cs="Times New Roman"/>
          <w:sz w:val="24"/>
          <w:szCs w:val="24"/>
        </w:rPr>
        <w:t>em comparação a</w:t>
      </w:r>
      <w:r w:rsidR="00A45F63" w:rsidRPr="00947CC1">
        <w:rPr>
          <w:rFonts w:ascii="Times New Roman" w:hAnsi="Times New Roman" w:cs="Times New Roman"/>
          <w:sz w:val="24"/>
          <w:szCs w:val="24"/>
        </w:rPr>
        <w:t>o deslocamento para países mais desenvolvidos</w:t>
      </w:r>
      <w:r w:rsidRPr="00947CC1">
        <w:rPr>
          <w:rFonts w:ascii="Times New Roman" w:hAnsi="Times New Roman" w:cs="Times New Roman"/>
          <w:sz w:val="24"/>
          <w:szCs w:val="24"/>
        </w:rPr>
        <w:t xml:space="preserve"> (</w:t>
      </w:r>
      <w:proofErr w:type="spellStart"/>
      <w:r w:rsidRPr="00947CC1">
        <w:rPr>
          <w:rFonts w:ascii="Times New Roman" w:hAnsi="Times New Roman" w:cs="Times New Roman"/>
          <w:sz w:val="24"/>
          <w:szCs w:val="24"/>
        </w:rPr>
        <w:t>extra</w:t>
      </w:r>
      <w:r w:rsidR="00A8306E" w:rsidRPr="00947CC1">
        <w:rPr>
          <w:rFonts w:ascii="Times New Roman" w:hAnsi="Times New Roman" w:cs="Times New Roman"/>
          <w:sz w:val="24"/>
          <w:szCs w:val="24"/>
        </w:rPr>
        <w:t>rr</w:t>
      </w:r>
      <w:r w:rsidRPr="00947CC1">
        <w:rPr>
          <w:rFonts w:ascii="Times New Roman" w:hAnsi="Times New Roman" w:cs="Times New Roman"/>
          <w:sz w:val="24"/>
          <w:szCs w:val="24"/>
        </w:rPr>
        <w:t>egional</w:t>
      </w:r>
      <w:proofErr w:type="spellEnd"/>
      <w:r w:rsidRPr="00947CC1">
        <w:rPr>
          <w:rFonts w:ascii="Times New Roman" w:hAnsi="Times New Roman" w:cs="Times New Roman"/>
          <w:sz w:val="24"/>
          <w:szCs w:val="24"/>
        </w:rPr>
        <w:t>), numa dinâmica recente</w:t>
      </w:r>
      <w:r w:rsidR="00A45F63" w:rsidRPr="00947CC1">
        <w:rPr>
          <w:rFonts w:ascii="Times New Roman" w:hAnsi="Times New Roman" w:cs="Times New Roman"/>
          <w:sz w:val="24"/>
          <w:szCs w:val="24"/>
        </w:rPr>
        <w:t>.</w:t>
      </w:r>
      <w:r w:rsidR="00FE74C7" w:rsidRPr="00947CC1">
        <w:rPr>
          <w:rFonts w:ascii="Times New Roman" w:hAnsi="Times New Roman" w:cs="Times New Roman"/>
          <w:sz w:val="24"/>
          <w:szCs w:val="24"/>
        </w:rPr>
        <w:t xml:space="preserve"> Aproximadamente 80% dos imigrantes na América do Sul </w:t>
      </w:r>
      <w:r w:rsidR="003E1A53" w:rsidRPr="00947CC1">
        <w:rPr>
          <w:rFonts w:ascii="Times New Roman" w:hAnsi="Times New Roman" w:cs="Times New Roman"/>
          <w:sz w:val="24"/>
          <w:szCs w:val="24"/>
        </w:rPr>
        <w:t>são</w:t>
      </w:r>
      <w:r w:rsidR="00FE74C7" w:rsidRPr="00947CC1">
        <w:rPr>
          <w:rFonts w:ascii="Times New Roman" w:hAnsi="Times New Roman" w:cs="Times New Roman"/>
          <w:sz w:val="24"/>
          <w:szCs w:val="24"/>
        </w:rPr>
        <w:t xml:space="preserve"> </w:t>
      </w:r>
      <w:proofErr w:type="spellStart"/>
      <w:r w:rsidR="00FE74C7" w:rsidRPr="00947CC1">
        <w:rPr>
          <w:rFonts w:ascii="Times New Roman" w:hAnsi="Times New Roman" w:cs="Times New Roman"/>
          <w:sz w:val="24"/>
          <w:szCs w:val="24"/>
        </w:rPr>
        <w:t>intra</w:t>
      </w:r>
      <w:r w:rsidR="003D1FAF">
        <w:rPr>
          <w:rFonts w:ascii="Times New Roman" w:hAnsi="Times New Roman" w:cs="Times New Roman"/>
          <w:sz w:val="24"/>
          <w:szCs w:val="24"/>
        </w:rPr>
        <w:t>r</w:t>
      </w:r>
      <w:r w:rsidR="00FE74C7" w:rsidRPr="00947CC1">
        <w:rPr>
          <w:rFonts w:ascii="Times New Roman" w:hAnsi="Times New Roman" w:cs="Times New Roman"/>
          <w:sz w:val="24"/>
          <w:szCs w:val="24"/>
        </w:rPr>
        <w:t>regiona</w:t>
      </w:r>
      <w:r w:rsidR="003E1A53" w:rsidRPr="00947CC1">
        <w:rPr>
          <w:rFonts w:ascii="Times New Roman" w:hAnsi="Times New Roman" w:cs="Times New Roman"/>
          <w:sz w:val="24"/>
          <w:szCs w:val="24"/>
        </w:rPr>
        <w:t>is</w:t>
      </w:r>
      <w:proofErr w:type="spellEnd"/>
      <w:r w:rsidR="0044208D" w:rsidRPr="00947CC1">
        <w:rPr>
          <w:rFonts w:ascii="Times New Roman" w:hAnsi="Times New Roman" w:cs="Times New Roman"/>
          <w:sz w:val="24"/>
          <w:szCs w:val="24"/>
        </w:rPr>
        <w:t>, sobretudo pelo crescimento da migração venezuelana</w:t>
      </w:r>
      <w:r w:rsidR="00FE74C7" w:rsidRPr="00947CC1">
        <w:rPr>
          <w:rFonts w:ascii="Times New Roman" w:hAnsi="Times New Roman" w:cs="Times New Roman"/>
          <w:sz w:val="24"/>
          <w:szCs w:val="24"/>
        </w:rPr>
        <w:t>.</w:t>
      </w:r>
      <w:r w:rsidR="00B8750F" w:rsidRPr="00947CC1">
        <w:rPr>
          <w:rFonts w:ascii="Times New Roman" w:hAnsi="Times New Roman" w:cs="Times New Roman"/>
          <w:sz w:val="24"/>
          <w:szCs w:val="24"/>
        </w:rPr>
        <w:t xml:space="preserve"> </w:t>
      </w:r>
    </w:p>
    <w:p w14:paraId="572EAE92" w14:textId="68F89C23" w:rsidR="00D97ABF" w:rsidRPr="00947CC1" w:rsidRDefault="009A362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Especificamente n</w:t>
      </w:r>
      <w:r w:rsidR="00D97ABF" w:rsidRPr="00947CC1">
        <w:rPr>
          <w:rFonts w:ascii="Times New Roman" w:hAnsi="Times New Roman" w:cs="Times New Roman"/>
          <w:sz w:val="24"/>
          <w:szCs w:val="24"/>
        </w:rPr>
        <w:t>o Brasil</w:t>
      </w:r>
      <w:r w:rsidRPr="00947CC1">
        <w:rPr>
          <w:rFonts w:ascii="Times New Roman" w:hAnsi="Times New Roman" w:cs="Times New Roman"/>
          <w:sz w:val="24"/>
          <w:szCs w:val="24"/>
        </w:rPr>
        <w:t>,</w:t>
      </w:r>
      <w:r w:rsidR="00D97ABF" w:rsidRPr="00947CC1">
        <w:rPr>
          <w:rFonts w:ascii="Times New Roman" w:hAnsi="Times New Roman" w:cs="Times New Roman"/>
          <w:sz w:val="24"/>
          <w:szCs w:val="24"/>
        </w:rPr>
        <w:t xml:space="preserve"> </w:t>
      </w:r>
      <w:r w:rsidR="009F5B7C" w:rsidRPr="00947CC1">
        <w:rPr>
          <w:rFonts w:ascii="Times New Roman" w:hAnsi="Times New Roman" w:cs="Times New Roman"/>
          <w:sz w:val="24"/>
          <w:szCs w:val="24"/>
        </w:rPr>
        <w:t>cabe destacar que a formação populacional foi construída por várias nacionalidades ao longo de sua história (IBGE</w:t>
      </w:r>
      <w:r w:rsidR="00505DBC">
        <w:rPr>
          <w:rFonts w:ascii="Times New Roman" w:hAnsi="Times New Roman" w:cs="Times New Roman"/>
          <w:sz w:val="24"/>
          <w:szCs w:val="24"/>
        </w:rPr>
        <w:t>, 2007</w:t>
      </w:r>
      <w:r w:rsidR="009F5B7C" w:rsidRPr="00947CC1">
        <w:rPr>
          <w:rFonts w:ascii="Times New Roman" w:hAnsi="Times New Roman" w:cs="Times New Roman"/>
          <w:sz w:val="24"/>
          <w:szCs w:val="24"/>
        </w:rPr>
        <w:t>), que vai desde</w:t>
      </w:r>
      <w:r w:rsidR="002D7440">
        <w:rPr>
          <w:rFonts w:ascii="Times New Roman" w:hAnsi="Times New Roman" w:cs="Times New Roman"/>
          <w:sz w:val="24"/>
          <w:szCs w:val="24"/>
        </w:rPr>
        <w:t xml:space="preserve"> os povos originários e</w:t>
      </w:r>
      <w:r w:rsidR="009F5B7C" w:rsidRPr="00947CC1">
        <w:rPr>
          <w:rFonts w:ascii="Times New Roman" w:hAnsi="Times New Roman" w:cs="Times New Roman"/>
          <w:sz w:val="24"/>
          <w:szCs w:val="24"/>
        </w:rPr>
        <w:t xml:space="preserve"> africanos escravizados, até migrações de portugueses, italianos, japoneses, alemães, espanhóis, árabes e, mais recentemente, bolivianos, senegaleses, angolanos, congoleses, sírios, haitianos e venezuelanos. O</w:t>
      </w:r>
      <w:r w:rsidR="00D97ABF" w:rsidRPr="00947CC1">
        <w:rPr>
          <w:rFonts w:ascii="Times New Roman" w:hAnsi="Times New Roman" w:cs="Times New Roman"/>
          <w:sz w:val="24"/>
          <w:szCs w:val="24"/>
        </w:rPr>
        <w:t xml:space="preserve"> ingresso de migrantes motivados a reconstruir suas vidas</w:t>
      </w:r>
      <w:r w:rsidRPr="00947CC1">
        <w:rPr>
          <w:rFonts w:ascii="Times New Roman" w:hAnsi="Times New Roman" w:cs="Times New Roman"/>
          <w:sz w:val="24"/>
          <w:szCs w:val="24"/>
        </w:rPr>
        <w:t xml:space="preserve"> também</w:t>
      </w:r>
      <w:r w:rsidR="00D97ABF" w:rsidRPr="00947CC1">
        <w:rPr>
          <w:rFonts w:ascii="Times New Roman" w:hAnsi="Times New Roman" w:cs="Times New Roman"/>
          <w:sz w:val="24"/>
          <w:szCs w:val="24"/>
        </w:rPr>
        <w:t xml:space="preserve"> teve crescimento na última década</w:t>
      </w:r>
      <w:r w:rsidRPr="00947CC1">
        <w:rPr>
          <w:rFonts w:ascii="Times New Roman" w:hAnsi="Times New Roman" w:cs="Times New Roman"/>
          <w:sz w:val="24"/>
          <w:szCs w:val="24"/>
        </w:rPr>
        <w:t>, sobretudo</w:t>
      </w:r>
      <w:r w:rsidR="00D97ABF" w:rsidRPr="00947CC1">
        <w:rPr>
          <w:rFonts w:ascii="Times New Roman" w:hAnsi="Times New Roman" w:cs="Times New Roman"/>
          <w:sz w:val="24"/>
          <w:szCs w:val="24"/>
        </w:rPr>
        <w:t xml:space="preserve"> em virtude de crises econômicas, instabilidades sociais e políticas, desastres naturais e conflitos armados</w:t>
      </w:r>
      <w:r w:rsidR="00D56367">
        <w:rPr>
          <w:rFonts w:ascii="Times New Roman" w:hAnsi="Times New Roman" w:cs="Times New Roman"/>
          <w:sz w:val="24"/>
          <w:szCs w:val="24"/>
        </w:rPr>
        <w:t xml:space="preserve"> </w:t>
      </w:r>
      <w:r w:rsidR="00D56367" w:rsidRPr="00CB4C1A">
        <w:rPr>
          <w:rFonts w:ascii="Times New Roman" w:hAnsi="Times New Roman" w:cs="Times New Roman"/>
          <w:sz w:val="24"/>
          <w:szCs w:val="24"/>
        </w:rPr>
        <w:t>(BAENINGER</w:t>
      </w:r>
      <w:r w:rsidR="001A5E44">
        <w:rPr>
          <w:rFonts w:ascii="Times New Roman" w:hAnsi="Times New Roman" w:cs="Times New Roman"/>
          <w:sz w:val="24"/>
          <w:szCs w:val="24"/>
        </w:rPr>
        <w:t xml:space="preserve"> et. al., </w:t>
      </w:r>
      <w:r w:rsidR="00D56367" w:rsidRPr="00CB4C1A">
        <w:rPr>
          <w:rFonts w:ascii="Times New Roman" w:hAnsi="Times New Roman" w:cs="Times New Roman"/>
          <w:sz w:val="24"/>
          <w:szCs w:val="24"/>
        </w:rPr>
        <w:t>2018)</w:t>
      </w:r>
      <w:r w:rsidR="00D04893" w:rsidRPr="00947CC1">
        <w:rPr>
          <w:rFonts w:ascii="Times New Roman" w:hAnsi="Times New Roman" w:cs="Times New Roman"/>
          <w:sz w:val="24"/>
          <w:szCs w:val="24"/>
        </w:rPr>
        <w:t>. Outr</w:t>
      </w:r>
      <w:r w:rsidR="00991F24" w:rsidRPr="00947CC1">
        <w:rPr>
          <w:rFonts w:ascii="Times New Roman" w:hAnsi="Times New Roman" w:cs="Times New Roman"/>
          <w:sz w:val="24"/>
          <w:szCs w:val="24"/>
        </w:rPr>
        <w:t>a característica impulsionadora</w:t>
      </w:r>
      <w:r w:rsidR="009379D9" w:rsidRPr="00947CC1">
        <w:rPr>
          <w:rFonts w:ascii="Times New Roman" w:hAnsi="Times New Roman" w:cs="Times New Roman"/>
          <w:sz w:val="24"/>
          <w:szCs w:val="24"/>
        </w:rPr>
        <w:t xml:space="preserve"> desse fluxo</w:t>
      </w:r>
      <w:r w:rsidR="00991F24" w:rsidRPr="00947CC1">
        <w:rPr>
          <w:rFonts w:ascii="Times New Roman" w:hAnsi="Times New Roman" w:cs="Times New Roman"/>
          <w:sz w:val="24"/>
          <w:szCs w:val="24"/>
        </w:rPr>
        <w:t xml:space="preserve"> deve-se a</w:t>
      </w:r>
      <w:r w:rsidR="00D04893" w:rsidRPr="00947CC1">
        <w:rPr>
          <w:rFonts w:ascii="Times New Roman" w:hAnsi="Times New Roman" w:cs="Times New Roman"/>
          <w:sz w:val="24"/>
          <w:szCs w:val="24"/>
        </w:rPr>
        <w:t xml:space="preserve">o </w:t>
      </w:r>
      <w:r w:rsidRPr="00947CC1">
        <w:rPr>
          <w:rFonts w:ascii="Times New Roman" w:hAnsi="Times New Roman" w:cs="Times New Roman"/>
          <w:sz w:val="24"/>
          <w:szCs w:val="24"/>
        </w:rPr>
        <w:t xml:space="preserve">fato </w:t>
      </w:r>
      <w:r w:rsidR="00D97ABF" w:rsidRPr="00947CC1">
        <w:rPr>
          <w:rFonts w:ascii="Times New Roman" w:hAnsi="Times New Roman" w:cs="Times New Roman"/>
          <w:sz w:val="24"/>
          <w:szCs w:val="24"/>
        </w:rPr>
        <w:t xml:space="preserve">do crescimento econômico e novas oportunidades que surgiram no País nas últimas décadas. </w:t>
      </w:r>
    </w:p>
    <w:p w14:paraId="068CE4D2" w14:textId="6F3B7476" w:rsidR="00562D8E" w:rsidRDefault="009F5B7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lastRenderedPageBreak/>
        <w:t xml:space="preserve">Pelo gráfico a seguir, é possível comparar o movimento migratório de entradas e saídas do Brasil no </w:t>
      </w:r>
      <w:r w:rsidR="00725D79">
        <w:rPr>
          <w:rFonts w:ascii="Times New Roman" w:hAnsi="Times New Roman" w:cs="Times New Roman"/>
          <w:sz w:val="24"/>
          <w:szCs w:val="24"/>
        </w:rPr>
        <w:t xml:space="preserve">período de </w:t>
      </w:r>
      <w:r w:rsidR="00785FD9" w:rsidRPr="00FB616E">
        <w:rPr>
          <w:rFonts w:ascii="Times New Roman" w:hAnsi="Times New Roman" w:cs="Times New Roman"/>
          <w:sz w:val="24"/>
          <w:szCs w:val="24"/>
        </w:rPr>
        <w:t>2018</w:t>
      </w:r>
      <w:r w:rsidR="00725D79">
        <w:rPr>
          <w:rFonts w:ascii="Times New Roman" w:hAnsi="Times New Roman" w:cs="Times New Roman"/>
          <w:sz w:val="24"/>
          <w:szCs w:val="24"/>
        </w:rPr>
        <w:t xml:space="preserve"> a</w:t>
      </w:r>
      <w:r w:rsidR="00785FD9" w:rsidRPr="00FB616E">
        <w:rPr>
          <w:rFonts w:ascii="Times New Roman" w:hAnsi="Times New Roman" w:cs="Times New Roman"/>
          <w:sz w:val="24"/>
          <w:szCs w:val="24"/>
        </w:rPr>
        <w:t xml:space="preserve"> 2020</w:t>
      </w:r>
      <w:r w:rsidR="00B96767" w:rsidRPr="00947CC1">
        <w:rPr>
          <w:rFonts w:ascii="Times New Roman" w:hAnsi="Times New Roman" w:cs="Times New Roman"/>
          <w:sz w:val="24"/>
          <w:szCs w:val="24"/>
        </w:rPr>
        <w:t>, e observar que o mês de março de 2020 apresentou queda</w:t>
      </w:r>
      <w:r w:rsidR="00DC1BBA">
        <w:rPr>
          <w:rFonts w:ascii="Times New Roman" w:hAnsi="Times New Roman" w:cs="Times New Roman"/>
          <w:sz w:val="24"/>
          <w:szCs w:val="24"/>
        </w:rPr>
        <w:t xml:space="preserve"> abrupta</w:t>
      </w:r>
      <w:r w:rsidR="00DC1BBA" w:rsidRPr="00947CC1">
        <w:rPr>
          <w:rFonts w:ascii="Times New Roman" w:hAnsi="Times New Roman" w:cs="Times New Roman"/>
          <w:sz w:val="24"/>
          <w:szCs w:val="24"/>
        </w:rPr>
        <w:t xml:space="preserve"> </w:t>
      </w:r>
      <w:r w:rsidR="004E0982" w:rsidRPr="00947CC1">
        <w:rPr>
          <w:rFonts w:ascii="Times New Roman" w:hAnsi="Times New Roman" w:cs="Times New Roman"/>
          <w:sz w:val="24"/>
          <w:szCs w:val="24"/>
        </w:rPr>
        <w:t>no fluxo</w:t>
      </w:r>
      <w:r w:rsidR="00B96767" w:rsidRPr="00947CC1">
        <w:rPr>
          <w:rFonts w:ascii="Times New Roman" w:hAnsi="Times New Roman" w:cs="Times New Roman"/>
          <w:sz w:val="24"/>
          <w:szCs w:val="24"/>
        </w:rPr>
        <w:t xml:space="preserve"> migratóri</w:t>
      </w:r>
      <w:r w:rsidR="004E0982" w:rsidRPr="00947CC1">
        <w:rPr>
          <w:rFonts w:ascii="Times New Roman" w:hAnsi="Times New Roman" w:cs="Times New Roman"/>
          <w:sz w:val="24"/>
          <w:szCs w:val="24"/>
        </w:rPr>
        <w:t>o</w:t>
      </w:r>
      <w:r w:rsidR="00B96767" w:rsidRPr="00947CC1">
        <w:rPr>
          <w:rFonts w:ascii="Times New Roman" w:hAnsi="Times New Roman" w:cs="Times New Roman"/>
          <w:sz w:val="24"/>
          <w:szCs w:val="24"/>
        </w:rPr>
        <w:t>,</w:t>
      </w:r>
      <w:r w:rsidR="004D62F7">
        <w:rPr>
          <w:rFonts w:ascii="Times New Roman" w:hAnsi="Times New Roman" w:cs="Times New Roman"/>
          <w:sz w:val="24"/>
          <w:szCs w:val="24"/>
        </w:rPr>
        <w:t xml:space="preserve"> acima de 40%,</w:t>
      </w:r>
      <w:r w:rsidR="00B96767" w:rsidRPr="00947CC1">
        <w:rPr>
          <w:rFonts w:ascii="Times New Roman" w:hAnsi="Times New Roman" w:cs="Times New Roman"/>
          <w:sz w:val="24"/>
          <w:szCs w:val="24"/>
        </w:rPr>
        <w:t xml:space="preserve"> determinada pela</w:t>
      </w:r>
      <w:r w:rsidR="004D62F7">
        <w:rPr>
          <w:rFonts w:ascii="Times New Roman" w:hAnsi="Times New Roman" w:cs="Times New Roman"/>
          <w:sz w:val="24"/>
          <w:szCs w:val="24"/>
        </w:rPr>
        <w:t>s restrições de mobilidade ante a</w:t>
      </w:r>
      <w:r w:rsidR="00B96767" w:rsidRPr="00947CC1">
        <w:rPr>
          <w:rFonts w:ascii="Times New Roman" w:hAnsi="Times New Roman" w:cs="Times New Roman"/>
          <w:sz w:val="24"/>
          <w:szCs w:val="24"/>
        </w:rPr>
        <w:t xml:space="preserve"> declaração de pandemia do novo </w:t>
      </w:r>
      <w:proofErr w:type="spellStart"/>
      <w:r w:rsidR="00B96767" w:rsidRPr="00947CC1">
        <w:rPr>
          <w:rFonts w:ascii="Times New Roman" w:hAnsi="Times New Roman" w:cs="Times New Roman"/>
          <w:sz w:val="24"/>
          <w:szCs w:val="24"/>
        </w:rPr>
        <w:t>coronavírus</w:t>
      </w:r>
      <w:proofErr w:type="spellEnd"/>
      <w:r w:rsidR="00B96767" w:rsidRPr="00947CC1">
        <w:rPr>
          <w:rFonts w:ascii="Times New Roman" w:hAnsi="Times New Roman" w:cs="Times New Roman"/>
          <w:sz w:val="24"/>
          <w:szCs w:val="24"/>
        </w:rPr>
        <w:t xml:space="preserve"> (</w:t>
      </w:r>
      <w:r w:rsidR="002A7F73" w:rsidRPr="00947CC1">
        <w:rPr>
          <w:rFonts w:ascii="Times New Roman" w:hAnsi="Times New Roman" w:cs="Times New Roman"/>
          <w:sz w:val="24"/>
          <w:szCs w:val="24"/>
        </w:rPr>
        <w:t>SARS</w:t>
      </w:r>
      <w:r w:rsidR="00B96767" w:rsidRPr="00947CC1">
        <w:rPr>
          <w:rFonts w:ascii="Times New Roman" w:hAnsi="Times New Roman" w:cs="Times New Roman"/>
          <w:sz w:val="24"/>
          <w:szCs w:val="24"/>
        </w:rPr>
        <w:t>-CoV-2) pela Organização Mundial da Saúde (OMS)</w:t>
      </w:r>
      <w:r w:rsidR="004E0982" w:rsidRPr="00947CC1">
        <w:rPr>
          <w:rFonts w:ascii="Times New Roman" w:hAnsi="Times New Roman" w:cs="Times New Roman"/>
          <w:sz w:val="24"/>
          <w:szCs w:val="24"/>
        </w:rPr>
        <w:t>:</w:t>
      </w:r>
    </w:p>
    <w:p w14:paraId="56EFD517" w14:textId="77777777" w:rsidR="002C5289" w:rsidRDefault="002C5289" w:rsidP="00F83317">
      <w:pPr>
        <w:spacing w:before="100" w:after="100" w:line="360" w:lineRule="auto"/>
        <w:ind w:firstLine="709"/>
        <w:jc w:val="both"/>
        <w:rPr>
          <w:rFonts w:ascii="Times New Roman" w:hAnsi="Times New Roman" w:cs="Times New Roman"/>
          <w:sz w:val="24"/>
          <w:szCs w:val="24"/>
        </w:rPr>
      </w:pPr>
    </w:p>
    <w:p w14:paraId="011129B5" w14:textId="1677ED7D" w:rsidR="00141F04" w:rsidRPr="00947CC1" w:rsidRDefault="00141F04" w:rsidP="00F83317">
      <w:pPr>
        <w:spacing w:before="100" w:after="100" w:line="360" w:lineRule="auto"/>
        <w:ind w:firstLine="709"/>
        <w:jc w:val="both"/>
        <w:rPr>
          <w:rFonts w:ascii="Times New Roman" w:hAnsi="Times New Roman" w:cs="Times New Roman"/>
          <w:sz w:val="24"/>
          <w:szCs w:val="24"/>
        </w:rPr>
      </w:pPr>
      <w:r w:rsidRPr="00497C86">
        <w:rPr>
          <w:rFonts w:ascii="Times New Roman" w:hAnsi="Times New Roman" w:cs="Times New Roman"/>
          <w:sz w:val="24"/>
          <w:szCs w:val="24"/>
        </w:rPr>
        <w:t>Imagem</w:t>
      </w:r>
      <w:r>
        <w:rPr>
          <w:rFonts w:ascii="Times New Roman" w:hAnsi="Times New Roman" w:cs="Times New Roman"/>
          <w:sz w:val="24"/>
          <w:szCs w:val="24"/>
        </w:rPr>
        <w:t xml:space="preserve"> 1 </w:t>
      </w:r>
      <w:r w:rsidR="001D1367">
        <w:rPr>
          <w:rFonts w:ascii="Times New Roman" w:hAnsi="Times New Roman" w:cs="Times New Roman"/>
          <w:sz w:val="24"/>
          <w:szCs w:val="24"/>
        </w:rPr>
        <w:t>–</w:t>
      </w:r>
      <w:r>
        <w:rPr>
          <w:rFonts w:ascii="Times New Roman" w:hAnsi="Times New Roman" w:cs="Times New Roman"/>
          <w:sz w:val="24"/>
          <w:szCs w:val="24"/>
        </w:rPr>
        <w:t xml:space="preserve"> </w:t>
      </w:r>
      <w:r w:rsidR="001D1367">
        <w:rPr>
          <w:rFonts w:ascii="Times New Roman" w:hAnsi="Times New Roman" w:cs="Times New Roman"/>
          <w:sz w:val="24"/>
          <w:szCs w:val="24"/>
        </w:rPr>
        <w:t xml:space="preserve">Controle de fluxo migratório no Brasil no </w:t>
      </w:r>
      <w:r w:rsidR="008F0877">
        <w:rPr>
          <w:rFonts w:ascii="Times New Roman" w:hAnsi="Times New Roman" w:cs="Times New Roman"/>
          <w:sz w:val="24"/>
          <w:szCs w:val="24"/>
        </w:rPr>
        <w:t xml:space="preserve"> período de</w:t>
      </w:r>
      <w:r w:rsidR="001D1367">
        <w:rPr>
          <w:rFonts w:ascii="Times New Roman" w:hAnsi="Times New Roman" w:cs="Times New Roman"/>
          <w:sz w:val="24"/>
          <w:szCs w:val="24"/>
        </w:rPr>
        <w:t xml:space="preserve"> 2018-2020</w:t>
      </w:r>
    </w:p>
    <w:p w14:paraId="4D70F5E7" w14:textId="3303A08C" w:rsidR="009F5B7C" w:rsidRPr="00947CC1" w:rsidRDefault="008F0877" w:rsidP="00B8750F">
      <w:pPr>
        <w:spacing w:before="100" w:after="100" w:line="360" w:lineRule="auto"/>
        <w:jc w:val="center"/>
        <w:rPr>
          <w:rFonts w:ascii="Times New Roman" w:hAnsi="Times New Roman" w:cs="Times New Roman"/>
          <w:sz w:val="24"/>
          <w:szCs w:val="24"/>
        </w:rPr>
      </w:pPr>
      <w:r>
        <w:rPr>
          <w:noProof/>
        </w:rPr>
        <w:drawing>
          <wp:inline distT="0" distB="0" distL="0" distR="0" wp14:anchorId="0653C7E6" wp14:editId="3C679105">
            <wp:extent cx="5759450" cy="3139440"/>
            <wp:effectExtent l="0" t="0" r="0" b="3810"/>
            <wp:docPr id="1" name="Gráfico 1">
              <a:extLst xmlns:a="http://schemas.openxmlformats.org/drawingml/2006/main">
                <a:ext uri="{FF2B5EF4-FFF2-40B4-BE49-F238E27FC236}">
                  <a16:creationId xmlns:a16="http://schemas.microsoft.com/office/drawing/2014/main" id="{5EE76F0C-6411-4C72-8FDA-8BE77FF7D2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218312" w14:textId="2C44BB73" w:rsidR="009F5B7C" w:rsidRPr="00947CC1" w:rsidRDefault="009F5B7C" w:rsidP="007608E0">
      <w:pPr>
        <w:spacing w:before="100" w:after="100" w:line="240" w:lineRule="auto"/>
        <w:ind w:left="284"/>
        <w:rPr>
          <w:rFonts w:ascii="Times New Roman" w:hAnsi="Times New Roman" w:cs="Times New Roman"/>
          <w:sz w:val="20"/>
          <w:szCs w:val="20"/>
        </w:rPr>
      </w:pPr>
      <w:r w:rsidRPr="00947CC1">
        <w:rPr>
          <w:rFonts w:ascii="Times New Roman" w:hAnsi="Times New Roman" w:cs="Times New Roman"/>
          <w:sz w:val="20"/>
          <w:szCs w:val="20"/>
        </w:rPr>
        <w:t>Fonte: Elaborado pelo</w:t>
      </w:r>
      <w:r w:rsidR="000202B1" w:rsidRPr="00947CC1">
        <w:rPr>
          <w:rFonts w:ascii="Times New Roman" w:hAnsi="Times New Roman" w:cs="Times New Roman"/>
          <w:sz w:val="20"/>
          <w:szCs w:val="20"/>
        </w:rPr>
        <w:t>s</w:t>
      </w:r>
      <w:r w:rsidRPr="00947CC1">
        <w:rPr>
          <w:rFonts w:ascii="Times New Roman" w:hAnsi="Times New Roman" w:cs="Times New Roman"/>
          <w:sz w:val="20"/>
          <w:szCs w:val="20"/>
        </w:rPr>
        <w:t xml:space="preserve"> autor</w:t>
      </w:r>
      <w:r w:rsidR="000202B1" w:rsidRPr="00947CC1">
        <w:rPr>
          <w:rFonts w:ascii="Times New Roman" w:hAnsi="Times New Roman" w:cs="Times New Roman"/>
          <w:sz w:val="20"/>
          <w:szCs w:val="20"/>
        </w:rPr>
        <w:t>es</w:t>
      </w:r>
      <w:r w:rsidRPr="00947CC1">
        <w:rPr>
          <w:rFonts w:ascii="Times New Roman" w:hAnsi="Times New Roman" w:cs="Times New Roman"/>
          <w:sz w:val="20"/>
          <w:szCs w:val="20"/>
        </w:rPr>
        <w:t>, a partir de dados do Sistema de Tráfego Internacional da Polícia Federal, disponível no site do OBMIGRA</w:t>
      </w:r>
    </w:p>
    <w:p w14:paraId="4C582FEC" w14:textId="77777777" w:rsidR="007608E0" w:rsidRDefault="007608E0" w:rsidP="00F83317">
      <w:pPr>
        <w:spacing w:before="100" w:after="100" w:line="360" w:lineRule="auto"/>
        <w:ind w:firstLine="709"/>
        <w:jc w:val="both"/>
        <w:rPr>
          <w:rFonts w:ascii="Times New Roman" w:hAnsi="Times New Roman" w:cs="Times New Roman"/>
          <w:sz w:val="24"/>
          <w:szCs w:val="24"/>
        </w:rPr>
      </w:pPr>
    </w:p>
    <w:p w14:paraId="7E533BED" w14:textId="53D5CE4D" w:rsidR="00100682" w:rsidRPr="00947CC1" w:rsidRDefault="00C53EFC" w:rsidP="00F83317">
      <w:pPr>
        <w:spacing w:before="100"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preocupação de haver uma coordenação internacional para lidar com problemas  sanitários </w:t>
      </w:r>
      <w:r w:rsidR="000525FB">
        <w:rPr>
          <w:rFonts w:ascii="Times New Roman" w:hAnsi="Times New Roman" w:cs="Times New Roman"/>
          <w:sz w:val="24"/>
          <w:szCs w:val="24"/>
        </w:rPr>
        <w:t xml:space="preserve">e evitar a propagação de enfermidades entre fronteiras internacionais </w:t>
      </w:r>
      <w:r>
        <w:rPr>
          <w:rFonts w:ascii="Times New Roman" w:hAnsi="Times New Roman" w:cs="Times New Roman"/>
          <w:sz w:val="24"/>
          <w:szCs w:val="24"/>
        </w:rPr>
        <w:t>existe desde o século XIX.</w:t>
      </w:r>
      <w:r w:rsidRPr="00947CC1">
        <w:rPr>
          <w:rFonts w:ascii="Times New Roman" w:hAnsi="Times New Roman" w:cs="Times New Roman"/>
          <w:sz w:val="24"/>
          <w:szCs w:val="24"/>
        </w:rPr>
        <w:t xml:space="preserve"> </w:t>
      </w:r>
      <w:r>
        <w:rPr>
          <w:rFonts w:ascii="Times New Roman" w:hAnsi="Times New Roman" w:cs="Times New Roman"/>
          <w:sz w:val="24"/>
          <w:szCs w:val="24"/>
        </w:rPr>
        <w:t>Em razão da Pandemia, o</w:t>
      </w:r>
      <w:r w:rsidR="00100682" w:rsidRPr="00947CC1">
        <w:rPr>
          <w:rFonts w:ascii="Times New Roman" w:hAnsi="Times New Roman" w:cs="Times New Roman"/>
          <w:sz w:val="24"/>
          <w:szCs w:val="24"/>
        </w:rPr>
        <w:t xml:space="preserve">s </w:t>
      </w:r>
      <w:r w:rsidR="005F38AF" w:rsidRPr="00947CC1">
        <w:rPr>
          <w:rFonts w:ascii="Times New Roman" w:hAnsi="Times New Roman" w:cs="Times New Roman"/>
          <w:sz w:val="24"/>
          <w:szCs w:val="24"/>
        </w:rPr>
        <w:t>governos</w:t>
      </w:r>
      <w:r w:rsidR="00100682" w:rsidRPr="00947CC1">
        <w:rPr>
          <w:rFonts w:ascii="Times New Roman" w:hAnsi="Times New Roman" w:cs="Times New Roman"/>
          <w:sz w:val="24"/>
          <w:szCs w:val="24"/>
        </w:rPr>
        <w:t xml:space="preserve"> </w:t>
      </w:r>
      <w:r w:rsidR="005F38AF" w:rsidRPr="00947CC1">
        <w:rPr>
          <w:rFonts w:ascii="Times New Roman" w:hAnsi="Times New Roman" w:cs="Times New Roman"/>
          <w:sz w:val="24"/>
          <w:szCs w:val="24"/>
        </w:rPr>
        <w:t>reforçaram</w:t>
      </w:r>
      <w:r w:rsidR="00A2529B" w:rsidRPr="00947CC1">
        <w:rPr>
          <w:rFonts w:ascii="Times New Roman" w:hAnsi="Times New Roman" w:cs="Times New Roman"/>
          <w:sz w:val="24"/>
          <w:szCs w:val="24"/>
        </w:rPr>
        <w:t xml:space="preserve"> as</w:t>
      </w:r>
      <w:r w:rsidR="005F38AF" w:rsidRPr="00947CC1">
        <w:rPr>
          <w:rFonts w:ascii="Times New Roman" w:hAnsi="Times New Roman" w:cs="Times New Roman"/>
          <w:sz w:val="24"/>
          <w:szCs w:val="24"/>
        </w:rPr>
        <w:t xml:space="preserve"> </w:t>
      </w:r>
      <w:r w:rsidR="00100682" w:rsidRPr="00947CC1">
        <w:rPr>
          <w:rFonts w:ascii="Times New Roman" w:hAnsi="Times New Roman" w:cs="Times New Roman"/>
          <w:sz w:val="24"/>
          <w:szCs w:val="24"/>
        </w:rPr>
        <w:t>medidas restritivas, tais como o fechamento d</w:t>
      </w:r>
      <w:r w:rsidR="005F38AF" w:rsidRPr="00947CC1">
        <w:rPr>
          <w:rFonts w:ascii="Times New Roman" w:hAnsi="Times New Roman" w:cs="Times New Roman"/>
          <w:sz w:val="24"/>
          <w:szCs w:val="24"/>
        </w:rPr>
        <w:t>e su</w:t>
      </w:r>
      <w:r w:rsidR="00100682" w:rsidRPr="00947CC1">
        <w:rPr>
          <w:rFonts w:ascii="Times New Roman" w:hAnsi="Times New Roman" w:cs="Times New Roman"/>
          <w:sz w:val="24"/>
          <w:szCs w:val="24"/>
        </w:rPr>
        <w:t xml:space="preserve">as fronteiras, com </w:t>
      </w:r>
      <w:r w:rsidR="004E0982" w:rsidRPr="00947CC1">
        <w:rPr>
          <w:rFonts w:ascii="Times New Roman" w:hAnsi="Times New Roman" w:cs="Times New Roman"/>
          <w:sz w:val="24"/>
          <w:szCs w:val="24"/>
        </w:rPr>
        <w:t xml:space="preserve">o </w:t>
      </w:r>
      <w:r w:rsidR="00100682" w:rsidRPr="00947CC1">
        <w:rPr>
          <w:rFonts w:ascii="Times New Roman" w:hAnsi="Times New Roman" w:cs="Times New Roman"/>
          <w:sz w:val="24"/>
          <w:szCs w:val="24"/>
        </w:rPr>
        <w:t xml:space="preserve">objetivo de mitigar o impacto da enfermidade </w:t>
      </w:r>
      <w:r w:rsidR="004E0982" w:rsidRPr="00947CC1">
        <w:rPr>
          <w:rFonts w:ascii="Times New Roman" w:hAnsi="Times New Roman" w:cs="Times New Roman"/>
          <w:sz w:val="24"/>
          <w:szCs w:val="24"/>
        </w:rPr>
        <w:t>nos territórios</w:t>
      </w:r>
      <w:r w:rsidR="00AB1AA1">
        <w:rPr>
          <w:rFonts w:ascii="Times New Roman" w:hAnsi="Times New Roman" w:cs="Times New Roman"/>
          <w:sz w:val="24"/>
          <w:szCs w:val="24"/>
        </w:rPr>
        <w:t xml:space="preserve"> (DUVAL et. al., 2020)</w:t>
      </w:r>
      <w:r w:rsidR="00100682" w:rsidRPr="00947CC1">
        <w:rPr>
          <w:rFonts w:ascii="Times New Roman" w:hAnsi="Times New Roman" w:cs="Times New Roman"/>
          <w:sz w:val="24"/>
          <w:szCs w:val="24"/>
        </w:rPr>
        <w:t>.</w:t>
      </w:r>
      <w:r w:rsidR="005F38AF" w:rsidRPr="00947CC1">
        <w:rPr>
          <w:rFonts w:ascii="Times New Roman" w:hAnsi="Times New Roman" w:cs="Times New Roman"/>
          <w:sz w:val="24"/>
          <w:szCs w:val="24"/>
        </w:rPr>
        <w:t xml:space="preserve"> Contudo, em muitos países, </w:t>
      </w:r>
      <w:r w:rsidR="005F38AF" w:rsidRPr="0005505A">
        <w:rPr>
          <w:rFonts w:ascii="Times New Roman" w:hAnsi="Times New Roman" w:cs="Times New Roman"/>
          <w:sz w:val="24"/>
          <w:szCs w:val="24"/>
        </w:rPr>
        <w:t>tem ocorri</w:t>
      </w:r>
      <w:r w:rsidR="00A2529B" w:rsidRPr="0005505A">
        <w:rPr>
          <w:rFonts w:ascii="Times New Roman" w:hAnsi="Times New Roman" w:cs="Times New Roman"/>
          <w:sz w:val="24"/>
          <w:szCs w:val="24"/>
        </w:rPr>
        <w:t>do uma cautelosa</w:t>
      </w:r>
      <w:r w:rsidR="005F38AF" w:rsidRPr="0005505A">
        <w:rPr>
          <w:rFonts w:ascii="Times New Roman" w:hAnsi="Times New Roman" w:cs="Times New Roman"/>
          <w:sz w:val="24"/>
          <w:szCs w:val="24"/>
        </w:rPr>
        <w:t xml:space="preserve"> reabertura</w:t>
      </w:r>
      <w:r w:rsidR="00A2529B" w:rsidRPr="0005505A">
        <w:rPr>
          <w:rFonts w:ascii="Times New Roman" w:hAnsi="Times New Roman" w:cs="Times New Roman"/>
          <w:sz w:val="24"/>
          <w:szCs w:val="24"/>
        </w:rPr>
        <w:t xml:space="preserve"> das fronteiras</w:t>
      </w:r>
      <w:r w:rsidR="00A2529B" w:rsidRPr="00947CC1">
        <w:rPr>
          <w:rFonts w:ascii="Times New Roman" w:hAnsi="Times New Roman" w:cs="Times New Roman"/>
          <w:sz w:val="24"/>
          <w:szCs w:val="24"/>
        </w:rPr>
        <w:t>,</w:t>
      </w:r>
      <w:r w:rsidR="005F38AF" w:rsidRPr="00947CC1">
        <w:rPr>
          <w:rFonts w:ascii="Times New Roman" w:hAnsi="Times New Roman" w:cs="Times New Roman"/>
          <w:sz w:val="24"/>
          <w:szCs w:val="24"/>
        </w:rPr>
        <w:t xml:space="preserve"> com </w:t>
      </w:r>
      <w:r w:rsidR="00A2529B" w:rsidRPr="00947CC1">
        <w:rPr>
          <w:rFonts w:ascii="Times New Roman" w:hAnsi="Times New Roman" w:cs="Times New Roman"/>
          <w:sz w:val="24"/>
          <w:szCs w:val="24"/>
        </w:rPr>
        <w:t>observância a</w:t>
      </w:r>
      <w:r w:rsidR="005F38AF" w:rsidRPr="00947CC1">
        <w:rPr>
          <w:rFonts w:ascii="Times New Roman" w:hAnsi="Times New Roman" w:cs="Times New Roman"/>
          <w:sz w:val="24"/>
          <w:szCs w:val="24"/>
        </w:rPr>
        <w:t xml:space="preserve"> protocolos sanitários</w:t>
      </w:r>
      <w:r w:rsidR="00A2529B" w:rsidRPr="00947CC1">
        <w:rPr>
          <w:rFonts w:ascii="Times New Roman" w:hAnsi="Times New Roman" w:cs="Times New Roman"/>
          <w:sz w:val="24"/>
          <w:szCs w:val="24"/>
        </w:rPr>
        <w:t>, além de adotar</w:t>
      </w:r>
      <w:r w:rsidR="00135FFF" w:rsidRPr="00947CC1">
        <w:rPr>
          <w:rFonts w:ascii="Times New Roman" w:hAnsi="Times New Roman" w:cs="Times New Roman"/>
          <w:sz w:val="24"/>
          <w:szCs w:val="24"/>
        </w:rPr>
        <w:t>em</w:t>
      </w:r>
      <w:r w:rsidR="00A2529B" w:rsidRPr="00947CC1">
        <w:rPr>
          <w:rFonts w:ascii="Times New Roman" w:hAnsi="Times New Roman" w:cs="Times New Roman"/>
          <w:sz w:val="24"/>
          <w:szCs w:val="24"/>
        </w:rPr>
        <w:t xml:space="preserve"> critérios na reintrodução de controles internos, tais como epidemiológicos, de reciprocidade, interesses nacionais e econômicos</w:t>
      </w:r>
      <w:r w:rsidR="00135FFF" w:rsidRPr="00947CC1">
        <w:rPr>
          <w:rFonts w:ascii="Times New Roman" w:hAnsi="Times New Roman" w:cs="Times New Roman"/>
          <w:sz w:val="24"/>
          <w:szCs w:val="24"/>
        </w:rPr>
        <w:t>.</w:t>
      </w:r>
      <w:r w:rsidR="00DD1CFC" w:rsidRPr="00947CC1">
        <w:rPr>
          <w:rFonts w:ascii="Times New Roman" w:hAnsi="Times New Roman" w:cs="Times New Roman"/>
          <w:sz w:val="24"/>
          <w:szCs w:val="24"/>
        </w:rPr>
        <w:t xml:space="preserve"> </w:t>
      </w:r>
      <w:r w:rsidR="00135FFF" w:rsidRPr="00947CC1">
        <w:rPr>
          <w:rFonts w:ascii="Times New Roman" w:hAnsi="Times New Roman" w:cs="Times New Roman"/>
          <w:sz w:val="24"/>
          <w:szCs w:val="24"/>
        </w:rPr>
        <w:t>N</w:t>
      </w:r>
      <w:r w:rsidR="006B67F8" w:rsidRPr="00947CC1">
        <w:rPr>
          <w:rFonts w:ascii="Times New Roman" w:hAnsi="Times New Roman" w:cs="Times New Roman"/>
          <w:sz w:val="24"/>
          <w:szCs w:val="24"/>
        </w:rPr>
        <w:t xml:space="preserve">este caso, especialmente </w:t>
      </w:r>
      <w:r w:rsidR="00135FFF" w:rsidRPr="00947CC1">
        <w:rPr>
          <w:rFonts w:ascii="Times New Roman" w:hAnsi="Times New Roman" w:cs="Times New Roman"/>
          <w:sz w:val="24"/>
          <w:szCs w:val="24"/>
        </w:rPr>
        <w:t>com ações direcionadas</w:t>
      </w:r>
      <w:r w:rsidR="006B67F8" w:rsidRPr="00947CC1">
        <w:rPr>
          <w:rFonts w:ascii="Times New Roman" w:hAnsi="Times New Roman" w:cs="Times New Roman"/>
          <w:sz w:val="24"/>
          <w:szCs w:val="24"/>
        </w:rPr>
        <w:t xml:space="preserve"> a</w:t>
      </w:r>
      <w:r w:rsidR="00135FFF" w:rsidRPr="00947CC1">
        <w:rPr>
          <w:rFonts w:ascii="Times New Roman" w:hAnsi="Times New Roman" w:cs="Times New Roman"/>
          <w:sz w:val="24"/>
          <w:szCs w:val="24"/>
        </w:rPr>
        <w:t xml:space="preserve"> facilitar </w:t>
      </w:r>
      <w:r w:rsidR="006B67F8" w:rsidRPr="00947CC1">
        <w:rPr>
          <w:rFonts w:ascii="Times New Roman" w:hAnsi="Times New Roman" w:cs="Times New Roman"/>
          <w:sz w:val="24"/>
          <w:szCs w:val="24"/>
        </w:rPr>
        <w:t>o turismo</w:t>
      </w:r>
      <w:r w:rsidR="00135FFF" w:rsidRPr="00947CC1">
        <w:rPr>
          <w:rFonts w:ascii="Times New Roman" w:hAnsi="Times New Roman" w:cs="Times New Roman"/>
          <w:sz w:val="24"/>
          <w:szCs w:val="24"/>
        </w:rPr>
        <w:t>,</w:t>
      </w:r>
      <w:r w:rsidR="00DD1CFC" w:rsidRPr="00947CC1">
        <w:rPr>
          <w:rFonts w:ascii="Times New Roman" w:hAnsi="Times New Roman" w:cs="Times New Roman"/>
          <w:sz w:val="24"/>
          <w:szCs w:val="24"/>
        </w:rPr>
        <w:t xml:space="preserve"> que representa um papel significativo na reconstrução econômica,</w:t>
      </w:r>
      <w:r w:rsidR="00135FFF" w:rsidRPr="00947CC1">
        <w:rPr>
          <w:rFonts w:ascii="Times New Roman" w:hAnsi="Times New Roman" w:cs="Times New Roman"/>
          <w:sz w:val="24"/>
          <w:szCs w:val="24"/>
        </w:rPr>
        <w:t xml:space="preserve"> com procedimentos voltados </w:t>
      </w:r>
      <w:r w:rsidR="00DC52C2" w:rsidRPr="00947CC1">
        <w:rPr>
          <w:rFonts w:ascii="Times New Roman" w:hAnsi="Times New Roman" w:cs="Times New Roman"/>
          <w:sz w:val="24"/>
          <w:szCs w:val="24"/>
        </w:rPr>
        <w:t>à</w:t>
      </w:r>
      <w:r w:rsidR="00135FFF" w:rsidRPr="00947CC1">
        <w:rPr>
          <w:rFonts w:ascii="Times New Roman" w:hAnsi="Times New Roman" w:cs="Times New Roman"/>
          <w:sz w:val="24"/>
          <w:szCs w:val="24"/>
        </w:rPr>
        <w:t xml:space="preserve"> </w:t>
      </w:r>
      <w:r w:rsidR="00DC52C2" w:rsidRPr="00947CC1">
        <w:rPr>
          <w:rFonts w:ascii="Times New Roman" w:hAnsi="Times New Roman" w:cs="Times New Roman"/>
          <w:sz w:val="24"/>
          <w:szCs w:val="24"/>
        </w:rPr>
        <w:t xml:space="preserve">submissão ao teste de detecção do vírus SARS-CoV-2, controle de temperatura corporal, até a tentativa </w:t>
      </w:r>
      <w:r w:rsidR="00135FFF" w:rsidRPr="00947CC1">
        <w:rPr>
          <w:rFonts w:ascii="Times New Roman" w:hAnsi="Times New Roman" w:cs="Times New Roman"/>
          <w:sz w:val="24"/>
          <w:szCs w:val="24"/>
        </w:rPr>
        <w:t>de zonas fechadas</w:t>
      </w:r>
      <w:r w:rsidR="00DC52C2" w:rsidRPr="00947CC1">
        <w:rPr>
          <w:rFonts w:ascii="Times New Roman" w:hAnsi="Times New Roman" w:cs="Times New Roman"/>
          <w:sz w:val="24"/>
          <w:szCs w:val="24"/>
        </w:rPr>
        <w:t xml:space="preserve"> de viagem</w:t>
      </w:r>
      <w:r w:rsidR="00A2529B" w:rsidRPr="00947CC1">
        <w:rPr>
          <w:rFonts w:ascii="Times New Roman" w:hAnsi="Times New Roman" w:cs="Times New Roman"/>
          <w:sz w:val="24"/>
          <w:szCs w:val="24"/>
        </w:rPr>
        <w:t>.</w:t>
      </w:r>
    </w:p>
    <w:p w14:paraId="1495A0F5" w14:textId="64970B1C" w:rsidR="00100682" w:rsidRPr="00947CC1" w:rsidRDefault="00DD1CF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O processo de reabertura não se </w:t>
      </w:r>
      <w:r w:rsidR="00725D79">
        <w:rPr>
          <w:rFonts w:ascii="Times New Roman" w:hAnsi="Times New Roman" w:cs="Times New Roman"/>
          <w:sz w:val="24"/>
          <w:szCs w:val="24"/>
        </w:rPr>
        <w:t>tem revelado</w:t>
      </w:r>
      <w:r w:rsidRPr="00947CC1">
        <w:rPr>
          <w:rFonts w:ascii="Times New Roman" w:hAnsi="Times New Roman" w:cs="Times New Roman"/>
          <w:sz w:val="24"/>
          <w:szCs w:val="24"/>
        </w:rPr>
        <w:t xml:space="preserve"> uniforme, </w:t>
      </w:r>
      <w:r w:rsidR="005A230E" w:rsidRPr="00947CC1">
        <w:rPr>
          <w:rFonts w:ascii="Times New Roman" w:hAnsi="Times New Roman" w:cs="Times New Roman"/>
          <w:sz w:val="24"/>
          <w:szCs w:val="24"/>
        </w:rPr>
        <w:t>da mesma forma que a</w:t>
      </w:r>
      <w:r w:rsidRPr="00947CC1">
        <w:rPr>
          <w:rFonts w:ascii="Times New Roman" w:hAnsi="Times New Roman" w:cs="Times New Roman"/>
          <w:sz w:val="24"/>
          <w:szCs w:val="24"/>
        </w:rPr>
        <w:t>s peculiaridades locais</w:t>
      </w:r>
      <w:r w:rsidR="004E0982" w:rsidRPr="00947CC1">
        <w:rPr>
          <w:rFonts w:ascii="Times New Roman" w:hAnsi="Times New Roman" w:cs="Times New Roman"/>
          <w:sz w:val="24"/>
          <w:szCs w:val="24"/>
        </w:rPr>
        <w:t xml:space="preserve"> também diferenciam os países</w:t>
      </w:r>
      <w:r w:rsidR="000047BE">
        <w:rPr>
          <w:rFonts w:ascii="Times New Roman" w:hAnsi="Times New Roman" w:cs="Times New Roman"/>
          <w:sz w:val="24"/>
          <w:szCs w:val="24"/>
        </w:rPr>
        <w:t xml:space="preserve"> (OIM, 2021)</w:t>
      </w:r>
      <w:r w:rsidRPr="00947CC1">
        <w:rPr>
          <w:rFonts w:ascii="Times New Roman" w:hAnsi="Times New Roman" w:cs="Times New Roman"/>
          <w:sz w:val="24"/>
          <w:szCs w:val="24"/>
        </w:rPr>
        <w:t xml:space="preserve">. </w:t>
      </w:r>
      <w:r w:rsidR="00EF2BA4" w:rsidRPr="00947CC1">
        <w:rPr>
          <w:rFonts w:ascii="Times New Roman" w:hAnsi="Times New Roman" w:cs="Times New Roman"/>
          <w:sz w:val="24"/>
          <w:szCs w:val="24"/>
        </w:rPr>
        <w:t>Alguns apresentam uma postura mais conservadora, enquanto outros desejam retirar de forma célere as restrições acerca da mobilidade</w:t>
      </w:r>
      <w:r w:rsidRPr="00947CC1">
        <w:rPr>
          <w:rFonts w:ascii="Times New Roman" w:hAnsi="Times New Roman" w:cs="Times New Roman"/>
          <w:sz w:val="24"/>
          <w:szCs w:val="24"/>
        </w:rPr>
        <w:t xml:space="preserve"> </w:t>
      </w:r>
      <w:r w:rsidRPr="00947CC1">
        <w:rPr>
          <w:rFonts w:ascii="Times New Roman" w:hAnsi="Times New Roman" w:cs="Times New Roman"/>
          <w:sz w:val="24"/>
          <w:szCs w:val="24"/>
        </w:rPr>
        <w:lastRenderedPageBreak/>
        <w:t>humana</w:t>
      </w:r>
      <w:r w:rsidR="00EF2BA4" w:rsidRPr="00947CC1">
        <w:rPr>
          <w:rFonts w:ascii="Times New Roman" w:hAnsi="Times New Roman" w:cs="Times New Roman"/>
          <w:sz w:val="24"/>
          <w:szCs w:val="24"/>
        </w:rPr>
        <w:t xml:space="preserve">. No caso da União Europeia, a recomendação é de serem revisadas de forma periódica as ações para </w:t>
      </w:r>
      <w:r w:rsidR="00E16044" w:rsidRPr="00947CC1">
        <w:rPr>
          <w:rFonts w:ascii="Times New Roman" w:hAnsi="Times New Roman" w:cs="Times New Roman"/>
          <w:sz w:val="24"/>
          <w:szCs w:val="24"/>
        </w:rPr>
        <w:t xml:space="preserve">consentir </w:t>
      </w:r>
      <w:r w:rsidR="00EF2BA4" w:rsidRPr="00947CC1">
        <w:rPr>
          <w:rFonts w:ascii="Times New Roman" w:hAnsi="Times New Roman" w:cs="Times New Roman"/>
          <w:sz w:val="24"/>
          <w:szCs w:val="24"/>
        </w:rPr>
        <w:t xml:space="preserve">ou restringir a transposição de suas fronteiras, conforme a situação epidemiológica apresentada no país ante as medidas </w:t>
      </w:r>
      <w:r w:rsidR="00B0789E" w:rsidRPr="00947CC1">
        <w:rPr>
          <w:rFonts w:ascii="Times New Roman" w:hAnsi="Times New Roman" w:cs="Times New Roman"/>
          <w:sz w:val="24"/>
          <w:szCs w:val="24"/>
        </w:rPr>
        <w:t xml:space="preserve">anteriormente </w:t>
      </w:r>
      <w:r w:rsidR="00EF2BA4" w:rsidRPr="00947CC1">
        <w:rPr>
          <w:rFonts w:ascii="Times New Roman" w:hAnsi="Times New Roman" w:cs="Times New Roman"/>
          <w:sz w:val="24"/>
          <w:szCs w:val="24"/>
        </w:rPr>
        <w:t>adotadas.</w:t>
      </w:r>
    </w:p>
    <w:p w14:paraId="3CF2B04C" w14:textId="54808F08" w:rsidR="004E0982" w:rsidRPr="00947CC1" w:rsidRDefault="004E0982"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Apesar das dificuldades ora apresentadas</w:t>
      </w:r>
      <w:r w:rsidR="00EC33B0" w:rsidRPr="00947CC1">
        <w:rPr>
          <w:rFonts w:ascii="Times New Roman" w:hAnsi="Times New Roman" w:cs="Times New Roman"/>
          <w:sz w:val="24"/>
          <w:szCs w:val="24"/>
        </w:rPr>
        <w:t xml:space="preserve"> pela emergência em saúde pública</w:t>
      </w:r>
      <w:r w:rsidRPr="00947CC1">
        <w:rPr>
          <w:rFonts w:ascii="Times New Roman" w:hAnsi="Times New Roman" w:cs="Times New Roman"/>
          <w:sz w:val="24"/>
          <w:szCs w:val="24"/>
        </w:rPr>
        <w:t xml:space="preserve">, é </w:t>
      </w:r>
      <w:r w:rsidR="00EC33B0" w:rsidRPr="00947CC1">
        <w:rPr>
          <w:rFonts w:ascii="Times New Roman" w:hAnsi="Times New Roman" w:cs="Times New Roman"/>
          <w:sz w:val="24"/>
          <w:szCs w:val="24"/>
        </w:rPr>
        <w:t>imperioso</w:t>
      </w:r>
      <w:r w:rsidRPr="00947CC1">
        <w:rPr>
          <w:rFonts w:ascii="Times New Roman" w:hAnsi="Times New Roman" w:cs="Times New Roman"/>
          <w:sz w:val="24"/>
          <w:szCs w:val="24"/>
        </w:rPr>
        <w:t xml:space="preserve"> antecipar o cenário com o retorno da dinâmica migratória, visto que o fechamento das fronteiras foi determinado como medida necessária para conter a disseminação do novo </w:t>
      </w:r>
      <w:proofErr w:type="spellStart"/>
      <w:r w:rsidRPr="00947CC1">
        <w:rPr>
          <w:rFonts w:ascii="Times New Roman" w:hAnsi="Times New Roman" w:cs="Times New Roman"/>
          <w:sz w:val="24"/>
          <w:szCs w:val="24"/>
        </w:rPr>
        <w:t>coronavírus</w:t>
      </w:r>
      <w:proofErr w:type="spellEnd"/>
      <w:r w:rsidRPr="00947CC1">
        <w:rPr>
          <w:rFonts w:ascii="Times New Roman" w:hAnsi="Times New Roman" w:cs="Times New Roman"/>
          <w:sz w:val="24"/>
          <w:szCs w:val="24"/>
        </w:rPr>
        <w:t>, mas a reabertura é inevitável.</w:t>
      </w:r>
      <w:r w:rsidR="00EC33B0" w:rsidRPr="00947CC1">
        <w:rPr>
          <w:rFonts w:ascii="Times New Roman" w:hAnsi="Times New Roman" w:cs="Times New Roman"/>
          <w:sz w:val="24"/>
          <w:szCs w:val="24"/>
        </w:rPr>
        <w:t xml:space="preserve"> Ainda durante a restrição, foi possível notar a pressão para deslocamentos especialmente </w:t>
      </w:r>
      <w:r w:rsidR="00E2260E" w:rsidRPr="00947CC1">
        <w:rPr>
          <w:rFonts w:ascii="Times New Roman" w:hAnsi="Times New Roman" w:cs="Times New Roman"/>
          <w:sz w:val="24"/>
          <w:szCs w:val="24"/>
        </w:rPr>
        <w:t>entre</w:t>
      </w:r>
      <w:r w:rsidR="00EC33B0" w:rsidRPr="00947CC1">
        <w:rPr>
          <w:rFonts w:ascii="Times New Roman" w:hAnsi="Times New Roman" w:cs="Times New Roman"/>
          <w:sz w:val="24"/>
          <w:szCs w:val="24"/>
        </w:rPr>
        <w:t xml:space="preserve"> cidades-gêmeas</w:t>
      </w:r>
      <w:r w:rsidR="00E2260E" w:rsidRPr="00947CC1">
        <w:rPr>
          <w:rFonts w:ascii="Times New Roman" w:hAnsi="Times New Roman" w:cs="Times New Roman"/>
          <w:sz w:val="24"/>
          <w:szCs w:val="24"/>
        </w:rPr>
        <w:t xml:space="preserve">, que são estratégicas no contexto </w:t>
      </w:r>
      <w:r w:rsidR="004F1377" w:rsidRPr="00947CC1">
        <w:rPr>
          <w:rFonts w:ascii="Times New Roman" w:hAnsi="Times New Roman" w:cs="Times New Roman"/>
          <w:sz w:val="24"/>
          <w:szCs w:val="24"/>
        </w:rPr>
        <w:t xml:space="preserve">cultural e </w:t>
      </w:r>
      <w:r w:rsidR="00E2260E" w:rsidRPr="00947CC1">
        <w:rPr>
          <w:rFonts w:ascii="Times New Roman" w:hAnsi="Times New Roman" w:cs="Times New Roman"/>
          <w:sz w:val="24"/>
          <w:szCs w:val="24"/>
        </w:rPr>
        <w:t>econômico brasileiro</w:t>
      </w:r>
      <w:r w:rsidR="004F1377" w:rsidRPr="00947CC1">
        <w:rPr>
          <w:rFonts w:ascii="Times New Roman" w:hAnsi="Times New Roman" w:cs="Times New Roman"/>
          <w:sz w:val="24"/>
          <w:szCs w:val="24"/>
        </w:rPr>
        <w:t>, sobretudo</w:t>
      </w:r>
      <w:r w:rsidR="00E2260E" w:rsidRPr="00947CC1">
        <w:rPr>
          <w:rFonts w:ascii="Times New Roman" w:hAnsi="Times New Roman" w:cs="Times New Roman"/>
          <w:sz w:val="24"/>
          <w:szCs w:val="24"/>
        </w:rPr>
        <w:t xml:space="preserve"> pela abertura do mercado </w:t>
      </w:r>
      <w:r w:rsidR="00B91FC2">
        <w:rPr>
          <w:rFonts w:ascii="Times New Roman" w:hAnsi="Times New Roman" w:cs="Times New Roman"/>
          <w:sz w:val="24"/>
          <w:szCs w:val="24"/>
        </w:rPr>
        <w:t>S</w:t>
      </w:r>
      <w:r w:rsidR="00E2260E" w:rsidRPr="00947CC1">
        <w:rPr>
          <w:rFonts w:ascii="Times New Roman" w:hAnsi="Times New Roman" w:cs="Times New Roman"/>
          <w:sz w:val="24"/>
          <w:szCs w:val="24"/>
        </w:rPr>
        <w:t>ul</w:t>
      </w:r>
      <w:r w:rsidR="00B91FC2">
        <w:rPr>
          <w:rFonts w:ascii="Times New Roman" w:hAnsi="Times New Roman" w:cs="Times New Roman"/>
          <w:sz w:val="24"/>
          <w:szCs w:val="24"/>
        </w:rPr>
        <w:t>-A</w:t>
      </w:r>
      <w:r w:rsidR="00E2260E" w:rsidRPr="00947CC1">
        <w:rPr>
          <w:rFonts w:ascii="Times New Roman" w:hAnsi="Times New Roman" w:cs="Times New Roman"/>
          <w:sz w:val="24"/>
          <w:szCs w:val="24"/>
        </w:rPr>
        <w:t>mericano</w:t>
      </w:r>
      <w:r w:rsidR="00EC33B0" w:rsidRPr="00947CC1">
        <w:rPr>
          <w:rFonts w:ascii="Times New Roman" w:hAnsi="Times New Roman" w:cs="Times New Roman"/>
          <w:sz w:val="24"/>
          <w:szCs w:val="24"/>
        </w:rPr>
        <w:t>.</w:t>
      </w:r>
    </w:p>
    <w:p w14:paraId="23556D2C" w14:textId="2C452A87" w:rsidR="00D04893" w:rsidRPr="00947CC1" w:rsidRDefault="00D04893"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Nesse contexto e diante das crescentes dimensões dos deslocamentos internacionais, torna-se necessário discutir e desenvolver o assunto para conciliar as preocupações relativas à segurança nacional com a recepção de migrantes de maneira segura, coordenada e digna, notadamente daqueles mais vulneráveis</w:t>
      </w:r>
      <w:r w:rsidR="00255284">
        <w:rPr>
          <w:rFonts w:ascii="Times New Roman" w:hAnsi="Times New Roman" w:cs="Times New Roman"/>
          <w:sz w:val="24"/>
          <w:szCs w:val="24"/>
        </w:rPr>
        <w:t xml:space="preserve"> (TORELLY et. al., 2017)</w:t>
      </w:r>
      <w:r w:rsidR="00016B2B" w:rsidRPr="00947CC1">
        <w:rPr>
          <w:rFonts w:ascii="Times New Roman" w:hAnsi="Times New Roman" w:cs="Times New Roman"/>
          <w:sz w:val="24"/>
          <w:szCs w:val="24"/>
        </w:rPr>
        <w:t>, que são mais suscetíveis às práticas ilícitas de redes criminosas</w:t>
      </w:r>
      <w:r w:rsidR="001065EC" w:rsidRPr="00947CC1">
        <w:rPr>
          <w:rFonts w:ascii="Times New Roman" w:hAnsi="Times New Roman" w:cs="Times New Roman"/>
          <w:sz w:val="24"/>
          <w:szCs w:val="24"/>
        </w:rPr>
        <w:t>, sobretudo no cenário pós-pandemia, resguardando-se os direitos humanos</w:t>
      </w:r>
      <w:r w:rsidRPr="00947CC1">
        <w:rPr>
          <w:rFonts w:ascii="Times New Roman" w:hAnsi="Times New Roman" w:cs="Times New Roman"/>
          <w:sz w:val="24"/>
          <w:szCs w:val="24"/>
        </w:rPr>
        <w:t>.</w:t>
      </w:r>
      <w:r w:rsidR="00C74161" w:rsidRPr="00947CC1">
        <w:rPr>
          <w:rFonts w:ascii="Times New Roman" w:hAnsi="Times New Roman" w:cs="Times New Roman"/>
          <w:sz w:val="24"/>
          <w:szCs w:val="24"/>
        </w:rPr>
        <w:t xml:space="preserve"> Neste caso é importante </w:t>
      </w:r>
      <w:r w:rsidR="0067367E" w:rsidRPr="00947CC1">
        <w:rPr>
          <w:rFonts w:ascii="Times New Roman" w:hAnsi="Times New Roman" w:cs="Times New Roman"/>
          <w:sz w:val="24"/>
          <w:szCs w:val="24"/>
        </w:rPr>
        <w:t>evidenciar</w:t>
      </w:r>
      <w:r w:rsidR="00C74161" w:rsidRPr="00947CC1">
        <w:rPr>
          <w:rFonts w:ascii="Times New Roman" w:hAnsi="Times New Roman" w:cs="Times New Roman"/>
          <w:sz w:val="24"/>
          <w:szCs w:val="24"/>
        </w:rPr>
        <w:t xml:space="preserve"> a experiência </w:t>
      </w:r>
      <w:r w:rsidR="00C74161" w:rsidRPr="001A5E44">
        <w:rPr>
          <w:rFonts w:ascii="Times New Roman" w:hAnsi="Times New Roman" w:cs="Times New Roman"/>
          <w:sz w:val="24"/>
          <w:szCs w:val="24"/>
        </w:rPr>
        <w:t>do Brasil</w:t>
      </w:r>
      <w:r w:rsidR="00C74161" w:rsidRPr="00947CC1">
        <w:rPr>
          <w:rFonts w:ascii="Times New Roman" w:hAnsi="Times New Roman" w:cs="Times New Roman"/>
          <w:sz w:val="24"/>
          <w:szCs w:val="24"/>
        </w:rPr>
        <w:t xml:space="preserve"> com a Operação Acolhida, ao determinar procedimentos</w:t>
      </w:r>
      <w:r w:rsidR="0067367E" w:rsidRPr="00947CC1">
        <w:rPr>
          <w:rFonts w:ascii="Times New Roman" w:hAnsi="Times New Roman" w:cs="Times New Roman"/>
          <w:sz w:val="24"/>
          <w:szCs w:val="24"/>
        </w:rPr>
        <w:t xml:space="preserve">, inclusive </w:t>
      </w:r>
      <w:r w:rsidR="001A5E44">
        <w:rPr>
          <w:rFonts w:ascii="Times New Roman" w:hAnsi="Times New Roman" w:cs="Times New Roman"/>
          <w:sz w:val="24"/>
          <w:szCs w:val="24"/>
        </w:rPr>
        <w:t>relacionados à saúde</w:t>
      </w:r>
      <w:r w:rsidR="0067367E" w:rsidRPr="00947CC1">
        <w:rPr>
          <w:rFonts w:ascii="Times New Roman" w:hAnsi="Times New Roman" w:cs="Times New Roman"/>
          <w:sz w:val="24"/>
          <w:szCs w:val="24"/>
        </w:rPr>
        <w:t>,</w:t>
      </w:r>
      <w:r w:rsidR="00C74161" w:rsidRPr="00947CC1">
        <w:rPr>
          <w:rFonts w:ascii="Times New Roman" w:hAnsi="Times New Roman" w:cs="Times New Roman"/>
          <w:sz w:val="24"/>
          <w:szCs w:val="24"/>
        </w:rPr>
        <w:t xml:space="preserve"> para </w:t>
      </w:r>
      <w:r w:rsidR="0067367E" w:rsidRPr="00947CC1">
        <w:rPr>
          <w:rFonts w:ascii="Times New Roman" w:hAnsi="Times New Roman" w:cs="Times New Roman"/>
          <w:sz w:val="24"/>
          <w:szCs w:val="24"/>
        </w:rPr>
        <w:t>receber com segurança e dignidade os imigrantes venezuelanos</w:t>
      </w:r>
      <w:r w:rsidR="008F3CE2">
        <w:rPr>
          <w:rFonts w:ascii="Times New Roman" w:hAnsi="Times New Roman" w:cs="Times New Roman"/>
          <w:sz w:val="24"/>
          <w:szCs w:val="24"/>
        </w:rPr>
        <w:t xml:space="preserve"> (</w:t>
      </w:r>
      <w:r w:rsidR="004B601E">
        <w:rPr>
          <w:rFonts w:ascii="Times New Roman" w:hAnsi="Times New Roman" w:cs="Times New Roman"/>
          <w:sz w:val="24"/>
          <w:szCs w:val="24"/>
        </w:rPr>
        <w:t>BRASIL et. al., 2021</w:t>
      </w:r>
      <w:r w:rsidR="008F3CE2">
        <w:rPr>
          <w:rFonts w:ascii="Times New Roman" w:hAnsi="Times New Roman" w:cs="Times New Roman"/>
          <w:sz w:val="24"/>
          <w:szCs w:val="24"/>
        </w:rPr>
        <w:t>)</w:t>
      </w:r>
      <w:r w:rsidR="0067367E" w:rsidRPr="00947CC1">
        <w:rPr>
          <w:rFonts w:ascii="Times New Roman" w:hAnsi="Times New Roman" w:cs="Times New Roman"/>
          <w:sz w:val="24"/>
          <w:szCs w:val="24"/>
        </w:rPr>
        <w:t>.</w:t>
      </w:r>
    </w:p>
    <w:p w14:paraId="6B1585A8" w14:textId="536F83C8" w:rsidR="009A362D" w:rsidRPr="00947CC1" w:rsidRDefault="00E11808"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Dessa forma, </w:t>
      </w:r>
      <w:r w:rsidR="009A362D" w:rsidRPr="00947CC1">
        <w:rPr>
          <w:rFonts w:ascii="Times New Roman" w:hAnsi="Times New Roman" w:cs="Times New Roman"/>
          <w:sz w:val="24"/>
          <w:szCs w:val="24"/>
        </w:rPr>
        <w:t>é preciso reorientar as políticas nacionais de desenvolvimento e a cooperação internacional a fim de se estabelecer os delineamentos necessários para uma gestão adequada de fronteiras ao promover uma melhor governança destes fluxos, tratar e sistematizar dados e informações de campo</w:t>
      </w:r>
      <w:r w:rsidR="0058059B" w:rsidRPr="00947CC1">
        <w:rPr>
          <w:rFonts w:ascii="Times New Roman" w:hAnsi="Times New Roman" w:cs="Times New Roman"/>
          <w:sz w:val="24"/>
          <w:szCs w:val="24"/>
        </w:rPr>
        <w:t xml:space="preserve"> com uso de ferramentas de inteligência</w:t>
      </w:r>
      <w:r w:rsidR="009A362D" w:rsidRPr="00947CC1">
        <w:rPr>
          <w:rFonts w:ascii="Times New Roman" w:hAnsi="Times New Roman" w:cs="Times New Roman"/>
          <w:sz w:val="24"/>
          <w:szCs w:val="24"/>
        </w:rPr>
        <w:t xml:space="preserve">, apoiar os migrantes </w:t>
      </w:r>
      <w:r w:rsidR="00D04893" w:rsidRPr="00947CC1">
        <w:rPr>
          <w:rFonts w:ascii="Times New Roman" w:hAnsi="Times New Roman" w:cs="Times New Roman"/>
          <w:sz w:val="24"/>
          <w:szCs w:val="24"/>
        </w:rPr>
        <w:t xml:space="preserve">e </w:t>
      </w:r>
      <w:r w:rsidR="009A362D" w:rsidRPr="00947CC1">
        <w:rPr>
          <w:rFonts w:ascii="Times New Roman" w:hAnsi="Times New Roman" w:cs="Times New Roman"/>
          <w:sz w:val="24"/>
          <w:szCs w:val="24"/>
        </w:rPr>
        <w:t xml:space="preserve">promover o acesso a seus direitos </w:t>
      </w:r>
      <w:r w:rsidR="00A842F5" w:rsidRPr="00947CC1">
        <w:rPr>
          <w:rFonts w:ascii="Times New Roman" w:hAnsi="Times New Roman" w:cs="Times New Roman"/>
          <w:sz w:val="24"/>
          <w:szCs w:val="24"/>
        </w:rPr>
        <w:t>na</w:t>
      </w:r>
      <w:r w:rsidR="009A362D" w:rsidRPr="00947CC1">
        <w:rPr>
          <w:rFonts w:ascii="Times New Roman" w:hAnsi="Times New Roman" w:cs="Times New Roman"/>
          <w:sz w:val="24"/>
          <w:szCs w:val="24"/>
        </w:rPr>
        <w:t xml:space="preserve"> busca </w:t>
      </w:r>
      <w:r w:rsidR="00991F24" w:rsidRPr="00947CC1">
        <w:rPr>
          <w:rFonts w:ascii="Times New Roman" w:hAnsi="Times New Roman" w:cs="Times New Roman"/>
          <w:sz w:val="24"/>
          <w:szCs w:val="24"/>
        </w:rPr>
        <w:t>pela</w:t>
      </w:r>
      <w:r w:rsidR="009A362D" w:rsidRPr="00947CC1">
        <w:rPr>
          <w:rFonts w:ascii="Times New Roman" w:hAnsi="Times New Roman" w:cs="Times New Roman"/>
          <w:sz w:val="24"/>
          <w:szCs w:val="24"/>
        </w:rPr>
        <w:t xml:space="preserve"> </w:t>
      </w:r>
      <w:r w:rsidR="009379D9" w:rsidRPr="00947CC1">
        <w:rPr>
          <w:rFonts w:ascii="Times New Roman" w:hAnsi="Times New Roman" w:cs="Times New Roman"/>
          <w:sz w:val="24"/>
          <w:szCs w:val="24"/>
        </w:rPr>
        <w:t>conformidade</w:t>
      </w:r>
      <w:r w:rsidR="009A362D" w:rsidRPr="00947CC1">
        <w:rPr>
          <w:rFonts w:ascii="Times New Roman" w:hAnsi="Times New Roman" w:cs="Times New Roman"/>
          <w:sz w:val="24"/>
          <w:szCs w:val="24"/>
        </w:rPr>
        <w:t xml:space="preserve"> entre a segurança nacional e os direitos humanos. </w:t>
      </w:r>
    </w:p>
    <w:p w14:paraId="194EE5ED" w14:textId="2C0A1B65" w:rsidR="00E11808" w:rsidRPr="00947CC1" w:rsidRDefault="00D04893"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Destarte</w:t>
      </w:r>
      <w:r w:rsidR="00E11808" w:rsidRPr="00947CC1">
        <w:rPr>
          <w:rFonts w:ascii="Times New Roman" w:hAnsi="Times New Roman" w:cs="Times New Roman"/>
          <w:sz w:val="24"/>
          <w:szCs w:val="24"/>
        </w:rPr>
        <w:t xml:space="preserve">, convém desenvolver um processo sistemático de gestão do conhecimento de forma integrada, considerar os múltiplos atores envolvidos no processo, estabelecer objetivos fundamentais, determinar métricas para medir os riscos relacionados ao tema e alinhar as ações de quem executa as políticas </w:t>
      </w:r>
      <w:r w:rsidR="009379D9" w:rsidRPr="00947CC1">
        <w:rPr>
          <w:rFonts w:ascii="Times New Roman" w:hAnsi="Times New Roman" w:cs="Times New Roman"/>
          <w:sz w:val="24"/>
          <w:szCs w:val="24"/>
        </w:rPr>
        <w:t xml:space="preserve">migratórias </w:t>
      </w:r>
      <w:r w:rsidR="00E11808" w:rsidRPr="00947CC1">
        <w:rPr>
          <w:rFonts w:ascii="Times New Roman" w:hAnsi="Times New Roman" w:cs="Times New Roman"/>
          <w:sz w:val="24"/>
          <w:szCs w:val="24"/>
        </w:rPr>
        <w:t>com os responsáveis pela sua formulação: trata-se da Gestão Coordenada de Fronteiras.</w:t>
      </w:r>
    </w:p>
    <w:p w14:paraId="60FE2861" w14:textId="115FEF80" w:rsidR="00A524BE" w:rsidRDefault="00A524BE" w:rsidP="009A362D">
      <w:pPr>
        <w:spacing w:before="100" w:after="100" w:line="360" w:lineRule="auto"/>
        <w:jc w:val="both"/>
        <w:rPr>
          <w:rFonts w:ascii="Times New Roman" w:hAnsi="Times New Roman" w:cs="Times New Roman"/>
          <w:sz w:val="24"/>
          <w:szCs w:val="24"/>
        </w:rPr>
      </w:pPr>
    </w:p>
    <w:p w14:paraId="10C6EEF5" w14:textId="77777777" w:rsidR="00A524BE" w:rsidRPr="00F83317" w:rsidRDefault="00A524BE" w:rsidP="009A362D">
      <w:pPr>
        <w:spacing w:before="100" w:after="100" w:line="360" w:lineRule="auto"/>
        <w:jc w:val="both"/>
        <w:rPr>
          <w:rFonts w:ascii="Times New Roman" w:hAnsi="Times New Roman" w:cs="Times New Roman"/>
          <w:sz w:val="24"/>
          <w:szCs w:val="24"/>
        </w:rPr>
      </w:pPr>
    </w:p>
    <w:p w14:paraId="104EE0C2" w14:textId="39E450EE" w:rsidR="00E11808" w:rsidRPr="00947CC1" w:rsidRDefault="00E11808" w:rsidP="00E11808">
      <w:pPr>
        <w:pStyle w:val="PargrafodaLista"/>
        <w:numPr>
          <w:ilvl w:val="0"/>
          <w:numId w:val="1"/>
        </w:numPr>
        <w:spacing w:before="100" w:after="100" w:line="360" w:lineRule="auto"/>
        <w:jc w:val="both"/>
        <w:rPr>
          <w:rFonts w:ascii="Times New Roman" w:hAnsi="Times New Roman" w:cs="Times New Roman"/>
          <w:b/>
          <w:lang w:val="pt-BR"/>
        </w:rPr>
      </w:pPr>
      <w:r w:rsidRPr="00947CC1">
        <w:rPr>
          <w:rFonts w:ascii="Times New Roman" w:hAnsi="Times New Roman" w:cs="Times New Roman"/>
          <w:b/>
          <w:lang w:val="pt-BR"/>
        </w:rPr>
        <w:t>Gestão Coordenada de Fronteiras</w:t>
      </w:r>
    </w:p>
    <w:p w14:paraId="34FD781F" w14:textId="77777777" w:rsidR="001D1367" w:rsidRPr="00947CC1" w:rsidRDefault="001D1367" w:rsidP="009A362D">
      <w:pPr>
        <w:spacing w:before="100" w:after="100" w:line="360" w:lineRule="auto"/>
        <w:jc w:val="both"/>
        <w:rPr>
          <w:rFonts w:ascii="Times New Roman" w:hAnsi="Times New Roman" w:cs="Times New Roman"/>
        </w:rPr>
      </w:pPr>
    </w:p>
    <w:p w14:paraId="55053B0B" w14:textId="3628E98E" w:rsidR="00E112BD" w:rsidRPr="00947CC1" w:rsidRDefault="008B2CB5"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lastRenderedPageBreak/>
        <w:t xml:space="preserve">O termo gestão </w:t>
      </w:r>
      <w:r w:rsidR="00570825" w:rsidRPr="00947CC1">
        <w:rPr>
          <w:rFonts w:ascii="Times New Roman" w:hAnsi="Times New Roman" w:cs="Times New Roman"/>
          <w:sz w:val="24"/>
          <w:szCs w:val="24"/>
        </w:rPr>
        <w:t>de fronteiras possui di</w:t>
      </w:r>
      <w:r w:rsidRPr="00947CC1">
        <w:rPr>
          <w:rFonts w:ascii="Times New Roman" w:hAnsi="Times New Roman" w:cs="Times New Roman"/>
          <w:sz w:val="24"/>
          <w:szCs w:val="24"/>
        </w:rPr>
        <w:t>stintos conceitos</w:t>
      </w:r>
      <w:r w:rsidR="00570825"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que variam de acordo com </w:t>
      </w:r>
      <w:r w:rsidR="00570825" w:rsidRPr="00947CC1">
        <w:rPr>
          <w:rFonts w:ascii="Times New Roman" w:hAnsi="Times New Roman" w:cs="Times New Roman"/>
          <w:sz w:val="24"/>
          <w:szCs w:val="24"/>
        </w:rPr>
        <w:t xml:space="preserve">o enfoque, como a Gestão Humanitária de Fronteiras, </w:t>
      </w:r>
      <w:r w:rsidR="00E112BD" w:rsidRPr="00947CC1">
        <w:rPr>
          <w:rFonts w:ascii="Times New Roman" w:hAnsi="Times New Roman" w:cs="Times New Roman"/>
          <w:sz w:val="24"/>
          <w:szCs w:val="24"/>
        </w:rPr>
        <w:t xml:space="preserve">Gestão Coordenada de Fronteiras, </w:t>
      </w:r>
      <w:r w:rsidR="00570825" w:rsidRPr="00947CC1">
        <w:rPr>
          <w:rFonts w:ascii="Times New Roman" w:hAnsi="Times New Roman" w:cs="Times New Roman"/>
          <w:sz w:val="24"/>
          <w:szCs w:val="24"/>
        </w:rPr>
        <w:t xml:space="preserve">Gestão Coordenada para Migração da Fronteira ou simplesmente Gestão de Fronteiras. </w:t>
      </w:r>
    </w:p>
    <w:p w14:paraId="7BF0931F" w14:textId="4B5F6547" w:rsidR="00570825" w:rsidRPr="00947CC1" w:rsidRDefault="00E112B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Por exemplo, o Escritório do Alto Comissariado das Nações Unidas para os Direitos Humanos, sobre Direitos Humanos nas Fronteiras Internacionais</w:t>
      </w:r>
      <w:r w:rsidRPr="00947CC1">
        <w:rPr>
          <w:rStyle w:val="Refdenotaderodap"/>
          <w:rFonts w:ascii="Times New Roman" w:hAnsi="Times New Roman" w:cs="Times New Roman"/>
          <w:sz w:val="24"/>
          <w:szCs w:val="24"/>
        </w:rPr>
        <w:footnoteReference w:id="3"/>
      </w:r>
      <w:r w:rsidRPr="00947CC1">
        <w:rPr>
          <w:rFonts w:ascii="Times New Roman" w:hAnsi="Times New Roman" w:cs="Times New Roman"/>
          <w:sz w:val="24"/>
          <w:szCs w:val="24"/>
        </w:rPr>
        <w:t xml:space="preserve"> (2014), fornece orientações </w:t>
      </w:r>
      <w:r w:rsidR="00BB2FEF">
        <w:rPr>
          <w:rFonts w:ascii="Times New Roman" w:hAnsi="Times New Roman" w:cs="Times New Roman"/>
          <w:sz w:val="24"/>
          <w:szCs w:val="24"/>
        </w:rPr>
        <w:t>acerca de</w:t>
      </w:r>
      <w:r w:rsidR="00BB2FEF"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como garantir que as atividades de gestão e governança das fronteiras cumpram os padrões de direitos humanos. Já </w:t>
      </w:r>
      <w:r w:rsidR="00A50C9E" w:rsidRPr="00947CC1">
        <w:rPr>
          <w:rFonts w:ascii="Times New Roman" w:hAnsi="Times New Roman" w:cs="Times New Roman"/>
          <w:sz w:val="24"/>
          <w:szCs w:val="24"/>
        </w:rPr>
        <w:t>n</w:t>
      </w:r>
      <w:r w:rsidRPr="00947CC1">
        <w:rPr>
          <w:rFonts w:ascii="Times New Roman" w:hAnsi="Times New Roman" w:cs="Times New Roman"/>
          <w:sz w:val="24"/>
          <w:szCs w:val="24"/>
        </w:rPr>
        <w:t xml:space="preserve">o </w:t>
      </w:r>
      <w:r w:rsidR="00570825" w:rsidRPr="00947CC1">
        <w:rPr>
          <w:rFonts w:ascii="Times New Roman" w:hAnsi="Times New Roman" w:cs="Times New Roman"/>
          <w:sz w:val="24"/>
          <w:szCs w:val="24"/>
        </w:rPr>
        <w:t xml:space="preserve">Glossário sobre Migrações, da </w:t>
      </w:r>
      <w:r w:rsidRPr="00947CC1">
        <w:rPr>
          <w:rFonts w:ascii="Times New Roman" w:hAnsi="Times New Roman" w:cs="Times New Roman"/>
          <w:sz w:val="24"/>
          <w:szCs w:val="24"/>
        </w:rPr>
        <w:t xml:space="preserve">Organização </w:t>
      </w:r>
      <w:r w:rsidR="00A50C9E" w:rsidRPr="00947CC1">
        <w:rPr>
          <w:rFonts w:ascii="Times New Roman" w:hAnsi="Times New Roman" w:cs="Times New Roman"/>
          <w:sz w:val="24"/>
          <w:szCs w:val="24"/>
        </w:rPr>
        <w:t xml:space="preserve">Internacional </w:t>
      </w:r>
      <w:r w:rsidRPr="00947CC1">
        <w:rPr>
          <w:rFonts w:ascii="Times New Roman" w:hAnsi="Times New Roman" w:cs="Times New Roman"/>
          <w:sz w:val="24"/>
          <w:szCs w:val="24"/>
        </w:rPr>
        <w:t xml:space="preserve">para </w:t>
      </w:r>
      <w:r w:rsidR="00A50C9E" w:rsidRPr="00947CC1">
        <w:rPr>
          <w:rFonts w:ascii="Times New Roman" w:hAnsi="Times New Roman" w:cs="Times New Roman"/>
          <w:sz w:val="24"/>
          <w:szCs w:val="24"/>
        </w:rPr>
        <w:t xml:space="preserve">as </w:t>
      </w:r>
      <w:r w:rsidRPr="00947CC1">
        <w:rPr>
          <w:rFonts w:ascii="Times New Roman" w:hAnsi="Times New Roman" w:cs="Times New Roman"/>
          <w:sz w:val="24"/>
          <w:szCs w:val="24"/>
        </w:rPr>
        <w:t>Migrações (O</w:t>
      </w:r>
      <w:r w:rsidR="00570825" w:rsidRPr="00947CC1">
        <w:rPr>
          <w:rFonts w:ascii="Times New Roman" w:hAnsi="Times New Roman" w:cs="Times New Roman"/>
          <w:sz w:val="24"/>
          <w:szCs w:val="24"/>
        </w:rPr>
        <w:t>IM</w:t>
      </w:r>
      <w:r w:rsidR="004C2F0B">
        <w:rPr>
          <w:rFonts w:ascii="Times New Roman" w:hAnsi="Times New Roman" w:cs="Times New Roman"/>
          <w:sz w:val="24"/>
          <w:szCs w:val="24"/>
        </w:rPr>
        <w:t>, 2019</w:t>
      </w:r>
      <w:r w:rsidRPr="00947CC1">
        <w:rPr>
          <w:rFonts w:ascii="Times New Roman" w:hAnsi="Times New Roman" w:cs="Times New Roman"/>
          <w:sz w:val="24"/>
          <w:szCs w:val="24"/>
        </w:rPr>
        <w:t>)</w:t>
      </w:r>
      <w:r w:rsidR="00570825" w:rsidRPr="00947CC1">
        <w:rPr>
          <w:rFonts w:ascii="Times New Roman" w:hAnsi="Times New Roman" w:cs="Times New Roman"/>
          <w:sz w:val="24"/>
          <w:szCs w:val="24"/>
        </w:rPr>
        <w:t>, a gestão de fronteiras envolve a facilitação de fluxos autorizados de pessoas e bens</w:t>
      </w:r>
      <w:r w:rsidR="00A50C9E" w:rsidRPr="00947CC1">
        <w:rPr>
          <w:rFonts w:ascii="Times New Roman" w:hAnsi="Times New Roman" w:cs="Times New Roman"/>
          <w:sz w:val="24"/>
          <w:szCs w:val="24"/>
        </w:rPr>
        <w:t>,</w:t>
      </w:r>
      <w:r w:rsidR="00570825" w:rsidRPr="00947CC1">
        <w:rPr>
          <w:rFonts w:ascii="Times New Roman" w:hAnsi="Times New Roman" w:cs="Times New Roman"/>
          <w:sz w:val="24"/>
          <w:szCs w:val="24"/>
        </w:rPr>
        <w:t xml:space="preserve"> e a detecção e prevenção da entrada irregular de estrangeiros e mercadorias em um dado país. </w:t>
      </w:r>
      <w:r w:rsidR="00D04893" w:rsidRPr="00947CC1">
        <w:rPr>
          <w:rFonts w:ascii="Times New Roman" w:hAnsi="Times New Roman" w:cs="Times New Roman"/>
          <w:sz w:val="24"/>
          <w:szCs w:val="24"/>
        </w:rPr>
        <w:t>D</w:t>
      </w:r>
      <w:r w:rsidR="00A842F5" w:rsidRPr="00947CC1">
        <w:rPr>
          <w:rFonts w:ascii="Times New Roman" w:hAnsi="Times New Roman" w:cs="Times New Roman"/>
          <w:sz w:val="24"/>
          <w:szCs w:val="24"/>
        </w:rPr>
        <w:t xml:space="preserve">e uma forma geral, </w:t>
      </w:r>
      <w:r w:rsidR="00D04893" w:rsidRPr="00947CC1">
        <w:rPr>
          <w:rFonts w:ascii="Times New Roman" w:hAnsi="Times New Roman" w:cs="Times New Roman"/>
          <w:sz w:val="24"/>
          <w:szCs w:val="24"/>
        </w:rPr>
        <w:t xml:space="preserve">as definições </w:t>
      </w:r>
      <w:r w:rsidRPr="00947CC1">
        <w:rPr>
          <w:rFonts w:ascii="Times New Roman" w:hAnsi="Times New Roman" w:cs="Times New Roman"/>
          <w:sz w:val="24"/>
          <w:szCs w:val="24"/>
        </w:rPr>
        <w:t>refere</w:t>
      </w:r>
      <w:r w:rsidR="00A842F5" w:rsidRPr="00947CC1">
        <w:rPr>
          <w:rFonts w:ascii="Times New Roman" w:hAnsi="Times New Roman" w:cs="Times New Roman"/>
          <w:sz w:val="24"/>
          <w:szCs w:val="24"/>
        </w:rPr>
        <w:t>m</w:t>
      </w:r>
      <w:r w:rsidRPr="00947CC1">
        <w:rPr>
          <w:rFonts w:ascii="Times New Roman" w:hAnsi="Times New Roman" w:cs="Times New Roman"/>
          <w:sz w:val="24"/>
          <w:szCs w:val="24"/>
        </w:rPr>
        <w:t>-se ao</w:t>
      </w:r>
      <w:r w:rsidR="00570825" w:rsidRPr="00947CC1">
        <w:rPr>
          <w:rFonts w:ascii="Times New Roman" w:hAnsi="Times New Roman" w:cs="Times New Roman"/>
          <w:sz w:val="24"/>
          <w:szCs w:val="24"/>
        </w:rPr>
        <w:t xml:space="preserve"> equilíbrio entre as medidas de facilitação da entrada de viajantes </w:t>
      </w:r>
      <w:r w:rsidR="007F71FC" w:rsidRPr="00947CC1">
        <w:rPr>
          <w:rFonts w:ascii="Times New Roman" w:hAnsi="Times New Roman" w:cs="Times New Roman"/>
          <w:sz w:val="24"/>
          <w:szCs w:val="24"/>
        </w:rPr>
        <w:t xml:space="preserve">habituais </w:t>
      </w:r>
      <w:r w:rsidR="00570825" w:rsidRPr="00947CC1">
        <w:rPr>
          <w:rFonts w:ascii="Times New Roman" w:hAnsi="Times New Roman" w:cs="Times New Roman"/>
          <w:sz w:val="24"/>
          <w:szCs w:val="24"/>
        </w:rPr>
        <w:t xml:space="preserve">e a detecção de pessoas que precisam de assistência imediata ou </w:t>
      </w:r>
      <w:r w:rsidR="00A50C9E" w:rsidRPr="00947CC1">
        <w:rPr>
          <w:rFonts w:ascii="Times New Roman" w:hAnsi="Times New Roman" w:cs="Times New Roman"/>
          <w:sz w:val="24"/>
          <w:szCs w:val="24"/>
        </w:rPr>
        <w:t xml:space="preserve">tenham </w:t>
      </w:r>
      <w:r w:rsidR="00570825" w:rsidRPr="00947CC1">
        <w:rPr>
          <w:rFonts w:ascii="Times New Roman" w:hAnsi="Times New Roman" w:cs="Times New Roman"/>
          <w:sz w:val="24"/>
          <w:szCs w:val="24"/>
        </w:rPr>
        <w:t>proteção internacional,</w:t>
      </w:r>
      <w:r w:rsidR="00991F24" w:rsidRPr="00947CC1">
        <w:rPr>
          <w:rFonts w:ascii="Times New Roman" w:hAnsi="Times New Roman" w:cs="Times New Roman"/>
          <w:sz w:val="24"/>
          <w:szCs w:val="24"/>
        </w:rPr>
        <w:t xml:space="preserve"> e à</w:t>
      </w:r>
      <w:r w:rsidR="00A50C9E" w:rsidRPr="00947CC1">
        <w:rPr>
          <w:rFonts w:ascii="Times New Roman" w:hAnsi="Times New Roman" w:cs="Times New Roman"/>
          <w:sz w:val="24"/>
          <w:szCs w:val="24"/>
        </w:rPr>
        <w:t>s</w:t>
      </w:r>
      <w:r w:rsidR="00991F24" w:rsidRPr="00947CC1">
        <w:rPr>
          <w:rFonts w:ascii="Times New Roman" w:hAnsi="Times New Roman" w:cs="Times New Roman"/>
          <w:sz w:val="24"/>
          <w:szCs w:val="24"/>
        </w:rPr>
        <w:t xml:space="preserve"> </w:t>
      </w:r>
      <w:r w:rsidR="00A842F5" w:rsidRPr="00947CC1">
        <w:rPr>
          <w:rFonts w:ascii="Times New Roman" w:hAnsi="Times New Roman" w:cs="Times New Roman"/>
          <w:sz w:val="24"/>
          <w:szCs w:val="24"/>
        </w:rPr>
        <w:t xml:space="preserve">questões aduaneiras e </w:t>
      </w:r>
      <w:r w:rsidRPr="00947CC1">
        <w:rPr>
          <w:rFonts w:ascii="Times New Roman" w:hAnsi="Times New Roman" w:cs="Times New Roman"/>
          <w:sz w:val="24"/>
          <w:szCs w:val="24"/>
        </w:rPr>
        <w:t>situações de pessoas com</w:t>
      </w:r>
      <w:r w:rsidR="00570825" w:rsidRPr="00947CC1">
        <w:rPr>
          <w:rFonts w:ascii="Times New Roman" w:hAnsi="Times New Roman" w:cs="Times New Roman"/>
          <w:sz w:val="24"/>
          <w:szCs w:val="24"/>
        </w:rPr>
        <w:t xml:space="preserve"> intenções criminosas.</w:t>
      </w:r>
    </w:p>
    <w:p w14:paraId="7C2F1D16" w14:textId="77777777" w:rsidR="007608E0" w:rsidRDefault="00991F24" w:rsidP="001D136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É importante salientar que</w:t>
      </w:r>
      <w:r w:rsidR="00E112BD" w:rsidRPr="00947CC1">
        <w:rPr>
          <w:rFonts w:ascii="Times New Roman" w:hAnsi="Times New Roman" w:cs="Times New Roman"/>
          <w:sz w:val="24"/>
          <w:szCs w:val="24"/>
        </w:rPr>
        <w:t xml:space="preserve"> </w:t>
      </w:r>
      <w:r w:rsidR="006D1354">
        <w:rPr>
          <w:rFonts w:ascii="Times New Roman" w:hAnsi="Times New Roman" w:cs="Times New Roman"/>
          <w:sz w:val="24"/>
          <w:szCs w:val="24"/>
        </w:rPr>
        <w:t>os Estados</w:t>
      </w:r>
      <w:r w:rsidR="00692072" w:rsidRPr="00947CC1">
        <w:rPr>
          <w:rFonts w:ascii="Times New Roman" w:hAnsi="Times New Roman" w:cs="Times New Roman"/>
          <w:sz w:val="24"/>
          <w:szCs w:val="24"/>
        </w:rPr>
        <w:t xml:space="preserve">, no exercício de sua soberania, possuem </w:t>
      </w:r>
      <w:r w:rsidR="00E112BD" w:rsidRPr="00947CC1">
        <w:rPr>
          <w:rFonts w:ascii="Times New Roman" w:hAnsi="Times New Roman" w:cs="Times New Roman"/>
          <w:sz w:val="24"/>
          <w:szCs w:val="24"/>
        </w:rPr>
        <w:t xml:space="preserve">a </w:t>
      </w:r>
      <w:r w:rsidR="00692072" w:rsidRPr="00947CC1">
        <w:rPr>
          <w:rFonts w:ascii="Times New Roman" w:hAnsi="Times New Roman" w:cs="Times New Roman"/>
          <w:sz w:val="24"/>
          <w:szCs w:val="24"/>
        </w:rPr>
        <w:t xml:space="preserve">prerrogativa para estabelecerem quais os processos de controle deverão utilizar, ou seja, qual enfoque será dado </w:t>
      </w:r>
      <w:r w:rsidR="008A3F3F" w:rsidRPr="00947CC1">
        <w:rPr>
          <w:rFonts w:ascii="Times New Roman" w:hAnsi="Times New Roman" w:cs="Times New Roman"/>
          <w:sz w:val="24"/>
          <w:szCs w:val="24"/>
        </w:rPr>
        <w:t>a</w:t>
      </w:r>
      <w:r w:rsidR="00692072" w:rsidRPr="00947CC1">
        <w:rPr>
          <w:rFonts w:ascii="Times New Roman" w:hAnsi="Times New Roman" w:cs="Times New Roman"/>
          <w:sz w:val="24"/>
          <w:szCs w:val="24"/>
        </w:rPr>
        <w:t>o controle de sua fronteira</w:t>
      </w:r>
      <w:r w:rsidR="008A3F3F" w:rsidRPr="00947CC1">
        <w:rPr>
          <w:rFonts w:ascii="Times New Roman" w:hAnsi="Times New Roman" w:cs="Times New Roman"/>
          <w:sz w:val="24"/>
          <w:szCs w:val="24"/>
        </w:rPr>
        <w:t>. D</w:t>
      </w:r>
      <w:r w:rsidR="009379D9" w:rsidRPr="00947CC1">
        <w:rPr>
          <w:rFonts w:ascii="Times New Roman" w:hAnsi="Times New Roman" w:cs="Times New Roman"/>
          <w:sz w:val="24"/>
          <w:szCs w:val="24"/>
        </w:rPr>
        <w:t>etêm</w:t>
      </w:r>
      <w:r w:rsidRPr="00947CC1">
        <w:rPr>
          <w:rFonts w:ascii="Times New Roman" w:hAnsi="Times New Roman" w:cs="Times New Roman"/>
          <w:sz w:val="24"/>
          <w:szCs w:val="24"/>
        </w:rPr>
        <w:t xml:space="preserve">, </w:t>
      </w:r>
      <w:r w:rsidR="00A842F5" w:rsidRPr="00947CC1">
        <w:rPr>
          <w:rFonts w:ascii="Times New Roman" w:hAnsi="Times New Roman" w:cs="Times New Roman"/>
          <w:sz w:val="24"/>
          <w:szCs w:val="24"/>
        </w:rPr>
        <w:t>igualmente,</w:t>
      </w:r>
      <w:r w:rsidR="00692072" w:rsidRPr="00947CC1">
        <w:rPr>
          <w:rFonts w:ascii="Times New Roman" w:hAnsi="Times New Roman" w:cs="Times New Roman"/>
          <w:sz w:val="24"/>
          <w:szCs w:val="24"/>
        </w:rPr>
        <w:t xml:space="preserve"> a </w:t>
      </w:r>
      <w:r w:rsidR="00E112BD" w:rsidRPr="00947CC1">
        <w:rPr>
          <w:rFonts w:ascii="Times New Roman" w:hAnsi="Times New Roman" w:cs="Times New Roman"/>
          <w:sz w:val="24"/>
          <w:szCs w:val="24"/>
        </w:rPr>
        <w:t xml:space="preserve">responsabilidade de garantir que a legislação, as políticas e as práticas de gestão de fronteiras cumpram e respeitem os direitos de todas as pessoas que atravessam </w:t>
      </w:r>
      <w:r w:rsidRPr="00947CC1">
        <w:rPr>
          <w:rFonts w:ascii="Times New Roman" w:hAnsi="Times New Roman" w:cs="Times New Roman"/>
          <w:sz w:val="24"/>
          <w:szCs w:val="24"/>
        </w:rPr>
        <w:t>os seus limites fronteiriços</w:t>
      </w:r>
      <w:r w:rsidR="00692072" w:rsidRPr="00947CC1">
        <w:rPr>
          <w:rFonts w:ascii="Times New Roman" w:hAnsi="Times New Roman" w:cs="Times New Roman"/>
          <w:sz w:val="24"/>
          <w:szCs w:val="24"/>
        </w:rPr>
        <w:t>.</w:t>
      </w:r>
    </w:p>
    <w:p w14:paraId="1F27E943" w14:textId="58883391" w:rsidR="001D1367" w:rsidRDefault="00692072" w:rsidP="001D136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Segundo o Banco Interamericano de Desenvolvimento (2019), há basicamente dois enfoques de controle </w:t>
      </w:r>
      <w:r w:rsidR="00991F24" w:rsidRPr="00947CC1">
        <w:rPr>
          <w:rFonts w:ascii="Times New Roman" w:hAnsi="Times New Roman" w:cs="Times New Roman"/>
          <w:sz w:val="24"/>
          <w:szCs w:val="24"/>
        </w:rPr>
        <w:t>de fronteira</w:t>
      </w:r>
      <w:r w:rsidRPr="00947CC1">
        <w:rPr>
          <w:rFonts w:ascii="Times New Roman" w:hAnsi="Times New Roman" w:cs="Times New Roman"/>
          <w:sz w:val="24"/>
          <w:szCs w:val="24"/>
        </w:rPr>
        <w:t xml:space="preserve">: abordagem de controle restritivo e abordagem de controle facilitado. No restritivo os procedimentos são orientados pelos conceitos de soberania, segurança nacional e pela garantia de interesses nacionais, ao passo que no controle facilitado, </w:t>
      </w:r>
      <w:r w:rsidR="00A842F5" w:rsidRPr="00947CC1">
        <w:rPr>
          <w:rFonts w:ascii="Times New Roman" w:hAnsi="Times New Roman" w:cs="Times New Roman"/>
          <w:sz w:val="24"/>
          <w:szCs w:val="24"/>
        </w:rPr>
        <w:t>a</w:t>
      </w:r>
      <w:r w:rsidRPr="00947CC1">
        <w:rPr>
          <w:rFonts w:ascii="Times New Roman" w:hAnsi="Times New Roman" w:cs="Times New Roman"/>
          <w:sz w:val="24"/>
          <w:szCs w:val="24"/>
        </w:rPr>
        <w:t xml:space="preserve"> componente Direitos Humanos se destaca como o eixo dos procedimentos, sendo a segurança enquadrada nos processos de prevenção e proteção. </w:t>
      </w:r>
      <w:r w:rsidR="00B95C13" w:rsidRPr="00947CC1">
        <w:rPr>
          <w:rFonts w:ascii="Times New Roman" w:hAnsi="Times New Roman" w:cs="Times New Roman"/>
          <w:sz w:val="24"/>
          <w:szCs w:val="24"/>
        </w:rPr>
        <w:t>Sem embargo</w:t>
      </w:r>
      <w:r w:rsidRPr="00947CC1">
        <w:rPr>
          <w:rFonts w:ascii="Times New Roman" w:hAnsi="Times New Roman" w:cs="Times New Roman"/>
          <w:sz w:val="24"/>
          <w:szCs w:val="24"/>
        </w:rPr>
        <w:t>, é possível encontrar modelos híbridos</w:t>
      </w:r>
      <w:r w:rsidR="00B95C13" w:rsidRPr="00947CC1">
        <w:rPr>
          <w:rFonts w:ascii="Times New Roman" w:hAnsi="Times New Roman" w:cs="Times New Roman"/>
          <w:sz w:val="24"/>
          <w:szCs w:val="24"/>
        </w:rPr>
        <w:t>, que conte</w:t>
      </w:r>
      <w:r w:rsidR="00A842F5" w:rsidRPr="00947CC1">
        <w:rPr>
          <w:rFonts w:ascii="Times New Roman" w:hAnsi="Times New Roman" w:cs="Times New Roman"/>
          <w:sz w:val="24"/>
          <w:szCs w:val="24"/>
        </w:rPr>
        <w:t xml:space="preserve">mplem </w:t>
      </w:r>
      <w:r w:rsidR="00B95C13" w:rsidRPr="00947CC1">
        <w:rPr>
          <w:rFonts w:ascii="Times New Roman" w:hAnsi="Times New Roman" w:cs="Times New Roman"/>
          <w:sz w:val="24"/>
          <w:szCs w:val="24"/>
        </w:rPr>
        <w:t xml:space="preserve">características </w:t>
      </w:r>
      <w:r w:rsidR="002249A7" w:rsidRPr="00947CC1">
        <w:rPr>
          <w:rFonts w:ascii="Times New Roman" w:hAnsi="Times New Roman" w:cs="Times New Roman"/>
          <w:sz w:val="24"/>
          <w:szCs w:val="24"/>
        </w:rPr>
        <w:t>d</w:t>
      </w:r>
      <w:r w:rsidR="00B95C13" w:rsidRPr="00947CC1">
        <w:rPr>
          <w:rFonts w:ascii="Times New Roman" w:hAnsi="Times New Roman" w:cs="Times New Roman"/>
          <w:sz w:val="24"/>
          <w:szCs w:val="24"/>
        </w:rPr>
        <w:t xml:space="preserve">as </w:t>
      </w:r>
      <w:r w:rsidR="002249A7" w:rsidRPr="00947CC1">
        <w:rPr>
          <w:rFonts w:ascii="Times New Roman" w:hAnsi="Times New Roman" w:cs="Times New Roman"/>
          <w:sz w:val="24"/>
          <w:szCs w:val="24"/>
        </w:rPr>
        <w:t xml:space="preserve">mencionadas </w:t>
      </w:r>
      <w:r w:rsidR="00B95C13" w:rsidRPr="00947CC1">
        <w:rPr>
          <w:rFonts w:ascii="Times New Roman" w:hAnsi="Times New Roman" w:cs="Times New Roman"/>
          <w:sz w:val="24"/>
          <w:szCs w:val="24"/>
        </w:rPr>
        <w:t>abordagens.</w:t>
      </w:r>
    </w:p>
    <w:p w14:paraId="592C686F" w14:textId="77777777" w:rsidR="001D1367" w:rsidRDefault="001D1367" w:rsidP="001D1367">
      <w:pPr>
        <w:spacing w:before="100" w:after="100" w:line="360" w:lineRule="auto"/>
        <w:ind w:firstLine="709"/>
        <w:jc w:val="both"/>
        <w:rPr>
          <w:rFonts w:ascii="Times New Roman" w:hAnsi="Times New Roman" w:cs="Times New Roman"/>
          <w:sz w:val="24"/>
          <w:szCs w:val="24"/>
        </w:rPr>
      </w:pPr>
    </w:p>
    <w:p w14:paraId="4275646B" w14:textId="5C783E07" w:rsidR="001D1367" w:rsidRPr="00947CC1" w:rsidRDefault="001D1367" w:rsidP="00F83317">
      <w:pPr>
        <w:spacing w:before="100" w:after="100" w:line="360" w:lineRule="auto"/>
        <w:jc w:val="center"/>
        <w:rPr>
          <w:rFonts w:ascii="Times New Roman" w:hAnsi="Times New Roman" w:cs="Times New Roman"/>
          <w:sz w:val="24"/>
          <w:szCs w:val="24"/>
        </w:rPr>
      </w:pPr>
      <w:r w:rsidRPr="00F83317">
        <w:rPr>
          <w:rFonts w:ascii="Times New Roman" w:hAnsi="Times New Roman" w:cs="Times New Roman"/>
          <w:sz w:val="24"/>
          <w:szCs w:val="24"/>
        </w:rPr>
        <w:t>Imagem 2 – Enfoques de controle de fronteira</w:t>
      </w:r>
    </w:p>
    <w:p w14:paraId="2007936A" w14:textId="5DAF17F5" w:rsidR="00DE1A5D" w:rsidRPr="00947CC1" w:rsidRDefault="00DE1A5D" w:rsidP="00DE1A5D">
      <w:pPr>
        <w:spacing w:before="100" w:after="100" w:line="360" w:lineRule="auto"/>
        <w:jc w:val="center"/>
        <w:rPr>
          <w:rFonts w:ascii="Times New Roman" w:hAnsi="Times New Roman" w:cs="Times New Roman"/>
        </w:rPr>
      </w:pPr>
      <w:r w:rsidRPr="00947CC1">
        <w:rPr>
          <w:rFonts w:ascii="Times New Roman" w:hAnsi="Times New Roman" w:cs="Times New Roman"/>
          <w:noProof/>
          <w:lang w:eastAsia="pt-BR"/>
        </w:rPr>
        <w:lastRenderedPageBreak/>
        <w:drawing>
          <wp:inline distT="0" distB="0" distL="0" distR="0" wp14:anchorId="2136F2AA" wp14:editId="7C2F4420">
            <wp:extent cx="3279662" cy="5588813"/>
            <wp:effectExtent l="19050" t="19050" r="16510" b="1206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679" cy="5682566"/>
                    </a:xfrm>
                    <a:prstGeom prst="rect">
                      <a:avLst/>
                    </a:prstGeom>
                    <a:ln>
                      <a:solidFill>
                        <a:schemeClr val="tx1"/>
                      </a:solidFill>
                    </a:ln>
                  </pic:spPr>
                </pic:pic>
              </a:graphicData>
            </a:graphic>
          </wp:inline>
        </w:drawing>
      </w:r>
    </w:p>
    <w:p w14:paraId="69B58877" w14:textId="4DB2D497" w:rsidR="00DE1A5D" w:rsidRPr="00F83317" w:rsidRDefault="004D2491" w:rsidP="00F83317">
      <w:pPr>
        <w:spacing w:before="100" w:after="100" w:line="360" w:lineRule="auto"/>
        <w:ind w:firstLine="2268"/>
        <w:rPr>
          <w:rFonts w:ascii="Times New Roman" w:hAnsi="Times New Roman" w:cs="Times New Roman"/>
          <w:sz w:val="20"/>
          <w:szCs w:val="20"/>
        </w:rPr>
      </w:pPr>
      <w:r w:rsidRPr="00F83317">
        <w:rPr>
          <w:rFonts w:ascii="Times New Roman" w:hAnsi="Times New Roman" w:cs="Times New Roman"/>
          <w:sz w:val="20"/>
          <w:szCs w:val="20"/>
        </w:rPr>
        <w:t>Fonte: Elaborado pelos autores</w:t>
      </w:r>
    </w:p>
    <w:p w14:paraId="25587E73" w14:textId="77777777" w:rsidR="003209C8" w:rsidRDefault="003209C8" w:rsidP="00F83317">
      <w:pPr>
        <w:spacing w:before="100" w:after="100" w:line="360" w:lineRule="auto"/>
        <w:ind w:firstLine="709"/>
        <w:jc w:val="both"/>
        <w:rPr>
          <w:rFonts w:ascii="Times New Roman" w:hAnsi="Times New Roman" w:cs="Times New Roman"/>
          <w:sz w:val="24"/>
          <w:szCs w:val="24"/>
        </w:rPr>
      </w:pPr>
    </w:p>
    <w:p w14:paraId="18357544" w14:textId="6579511C" w:rsidR="00B95C13" w:rsidRPr="00947CC1" w:rsidRDefault="00D04893"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A</w:t>
      </w:r>
      <w:r w:rsidR="00B95C13" w:rsidRPr="00947CC1">
        <w:rPr>
          <w:rFonts w:ascii="Times New Roman" w:hAnsi="Times New Roman" w:cs="Times New Roman"/>
          <w:sz w:val="24"/>
          <w:szCs w:val="24"/>
        </w:rPr>
        <w:t xml:space="preserve"> Gestão Coordenada </w:t>
      </w:r>
      <w:r w:rsidR="0085339D" w:rsidRPr="00947CC1">
        <w:rPr>
          <w:rFonts w:ascii="Times New Roman" w:hAnsi="Times New Roman" w:cs="Times New Roman"/>
          <w:sz w:val="24"/>
          <w:szCs w:val="24"/>
        </w:rPr>
        <w:t>d</w:t>
      </w:r>
      <w:r w:rsidR="0085339D">
        <w:rPr>
          <w:rFonts w:ascii="Times New Roman" w:hAnsi="Times New Roman" w:cs="Times New Roman"/>
          <w:sz w:val="24"/>
          <w:szCs w:val="24"/>
        </w:rPr>
        <w:t>e</w:t>
      </w:r>
      <w:r w:rsidR="0085339D" w:rsidRPr="00947CC1">
        <w:rPr>
          <w:rFonts w:ascii="Times New Roman" w:hAnsi="Times New Roman" w:cs="Times New Roman"/>
          <w:sz w:val="24"/>
          <w:szCs w:val="24"/>
        </w:rPr>
        <w:t xml:space="preserve"> </w:t>
      </w:r>
      <w:r w:rsidR="00B95C13" w:rsidRPr="00947CC1">
        <w:rPr>
          <w:rFonts w:ascii="Times New Roman" w:hAnsi="Times New Roman" w:cs="Times New Roman"/>
          <w:sz w:val="24"/>
          <w:szCs w:val="24"/>
        </w:rPr>
        <w:t xml:space="preserve">Fronteiras implica em uma ordenação entre os órgãos públicos e o setor privado com o objetivo de melhorar o controle fiscal, a segurança das </w:t>
      </w:r>
      <w:r w:rsidR="00DB3066">
        <w:rPr>
          <w:rFonts w:ascii="Times New Roman" w:hAnsi="Times New Roman" w:cs="Times New Roman"/>
          <w:sz w:val="24"/>
          <w:szCs w:val="24"/>
        </w:rPr>
        <w:t>divisas</w:t>
      </w:r>
      <w:r w:rsidR="00B95C13" w:rsidRPr="00947CC1">
        <w:rPr>
          <w:rFonts w:ascii="Times New Roman" w:hAnsi="Times New Roman" w:cs="Times New Roman"/>
          <w:sz w:val="24"/>
          <w:szCs w:val="24"/>
        </w:rPr>
        <w:t xml:space="preserve">, a facilitação do comércio e o trânsito de </w:t>
      </w:r>
      <w:r w:rsidR="008B08EF" w:rsidRPr="00947CC1">
        <w:rPr>
          <w:rFonts w:ascii="Times New Roman" w:hAnsi="Times New Roman" w:cs="Times New Roman"/>
          <w:sz w:val="24"/>
          <w:szCs w:val="24"/>
        </w:rPr>
        <w:t>migrantes</w:t>
      </w:r>
      <w:r w:rsidR="00B95C13" w:rsidRPr="00947CC1">
        <w:rPr>
          <w:rFonts w:ascii="Times New Roman" w:hAnsi="Times New Roman" w:cs="Times New Roman"/>
          <w:sz w:val="24"/>
          <w:szCs w:val="24"/>
        </w:rPr>
        <w:t>. Trata-se, portanto, do gerenciamento de funções e ações de todas as partes interessadas responsáveis pela regulamentação e controle de pessoas, veículos e mercadorias que atravessam fronteiras e que podem influenciar, de alguma forma, os interesses da sociedade, definidos em função do enfoque de controle adotado.</w:t>
      </w:r>
    </w:p>
    <w:p w14:paraId="4A132CF0" w14:textId="77777777" w:rsidR="0012150C" w:rsidRDefault="0012150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As diretrizes fundamentais ao adequado gerenciamento de fronteiras, qual seja, de forma integrada, segura e coordenada, são evidenciadas no 11º objetivo do Pacto Mundial</w:t>
      </w:r>
      <w:r w:rsidRPr="00947CC1">
        <w:rPr>
          <w:rStyle w:val="Refdenotaderodap"/>
          <w:rFonts w:ascii="Times New Roman" w:hAnsi="Times New Roman" w:cs="Times New Roman"/>
          <w:sz w:val="24"/>
          <w:szCs w:val="24"/>
        </w:rPr>
        <w:footnoteReference w:id="4"/>
      </w:r>
      <w:r w:rsidRPr="00947CC1">
        <w:rPr>
          <w:rFonts w:ascii="Times New Roman" w:hAnsi="Times New Roman" w:cs="Times New Roman"/>
          <w:sz w:val="24"/>
          <w:szCs w:val="24"/>
        </w:rPr>
        <w:t xml:space="preserve">, o qual se destaca </w:t>
      </w:r>
      <w:r w:rsidRPr="00947CC1">
        <w:rPr>
          <w:rFonts w:ascii="Times New Roman" w:hAnsi="Times New Roman" w:cs="Times New Roman"/>
          <w:sz w:val="24"/>
          <w:szCs w:val="24"/>
        </w:rPr>
        <w:lastRenderedPageBreak/>
        <w:t>por esclarecer as esferas que precisam ser robustecidas, além de servir como norteador para a atuação dos países, em que pese não ser cogente:</w:t>
      </w:r>
    </w:p>
    <w:p w14:paraId="7F1DA05C" w14:textId="77777777" w:rsidR="001D1367" w:rsidRPr="00947CC1" w:rsidRDefault="001D1367" w:rsidP="00F83317">
      <w:pPr>
        <w:spacing w:before="100" w:after="100" w:line="360" w:lineRule="auto"/>
        <w:ind w:firstLine="709"/>
        <w:jc w:val="both"/>
        <w:rPr>
          <w:rFonts w:ascii="Times New Roman" w:hAnsi="Times New Roman" w:cs="Times New Roman"/>
          <w:sz w:val="24"/>
          <w:szCs w:val="24"/>
        </w:rPr>
      </w:pPr>
    </w:p>
    <w:p w14:paraId="29814D3C" w14:textId="04D8D213" w:rsidR="001D1367" w:rsidRPr="00947CC1" w:rsidRDefault="001D1367" w:rsidP="00F83317">
      <w:pPr>
        <w:spacing w:before="100" w:after="100" w:line="360" w:lineRule="auto"/>
        <w:jc w:val="center"/>
        <w:rPr>
          <w:rFonts w:ascii="Times New Roman" w:hAnsi="Times New Roman" w:cs="Times New Roman"/>
          <w:sz w:val="24"/>
          <w:szCs w:val="24"/>
        </w:rPr>
      </w:pPr>
      <w:r w:rsidRPr="00F83317">
        <w:rPr>
          <w:rFonts w:ascii="Times New Roman" w:hAnsi="Times New Roman" w:cs="Times New Roman"/>
          <w:sz w:val="24"/>
          <w:szCs w:val="24"/>
        </w:rPr>
        <w:t>Imagem 3 – Diretrizes fundamentais ao gerenciamento de fronteira</w:t>
      </w:r>
    </w:p>
    <w:p w14:paraId="4D830E31" w14:textId="3E9968B4" w:rsidR="00B95C13" w:rsidRPr="00947CC1" w:rsidRDefault="0012150C" w:rsidP="00B8750F">
      <w:pPr>
        <w:spacing w:before="100" w:after="100" w:line="360" w:lineRule="auto"/>
        <w:jc w:val="center"/>
        <w:rPr>
          <w:rFonts w:ascii="Times New Roman" w:hAnsi="Times New Roman" w:cs="Times New Roman"/>
          <w:sz w:val="24"/>
          <w:szCs w:val="24"/>
        </w:rPr>
      </w:pPr>
      <w:r w:rsidRPr="00947CC1">
        <w:rPr>
          <w:rFonts w:ascii="Times New Roman" w:hAnsi="Times New Roman" w:cs="Times New Roman"/>
          <w:noProof/>
          <w:lang w:eastAsia="pt-BR"/>
        </w:rPr>
        <w:drawing>
          <wp:inline distT="0" distB="0" distL="0" distR="0" wp14:anchorId="1E528E92" wp14:editId="2C76FCF0">
            <wp:extent cx="2809718" cy="6467336"/>
            <wp:effectExtent l="19050" t="19050" r="10160" b="1016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3203" cy="6705534"/>
                    </a:xfrm>
                    <a:prstGeom prst="rect">
                      <a:avLst/>
                    </a:prstGeom>
                    <a:ln>
                      <a:solidFill>
                        <a:schemeClr val="tx1"/>
                      </a:solidFill>
                    </a:ln>
                  </pic:spPr>
                </pic:pic>
              </a:graphicData>
            </a:graphic>
          </wp:inline>
        </w:drawing>
      </w:r>
    </w:p>
    <w:p w14:paraId="6CD72261" w14:textId="2509E346" w:rsidR="004D2491" w:rsidRPr="00F83317" w:rsidRDefault="004D2491" w:rsidP="00F83317">
      <w:pPr>
        <w:spacing w:before="100" w:after="100" w:line="360" w:lineRule="auto"/>
        <w:ind w:firstLine="2552"/>
        <w:rPr>
          <w:rFonts w:ascii="Times New Roman" w:hAnsi="Times New Roman" w:cs="Times New Roman"/>
          <w:sz w:val="20"/>
          <w:szCs w:val="20"/>
        </w:rPr>
      </w:pPr>
      <w:r w:rsidRPr="00F83317">
        <w:rPr>
          <w:rFonts w:ascii="Times New Roman" w:hAnsi="Times New Roman" w:cs="Times New Roman"/>
          <w:sz w:val="20"/>
          <w:szCs w:val="20"/>
        </w:rPr>
        <w:t>Fonte: Adaptado de Pacto Mundial</w:t>
      </w:r>
    </w:p>
    <w:p w14:paraId="57490A67" w14:textId="1057F22A" w:rsidR="00570825" w:rsidRPr="00947CC1" w:rsidRDefault="00570825" w:rsidP="00E112BD">
      <w:pPr>
        <w:spacing w:before="100" w:after="100" w:line="360" w:lineRule="auto"/>
        <w:jc w:val="both"/>
        <w:rPr>
          <w:rFonts w:ascii="Times New Roman" w:hAnsi="Times New Roman" w:cs="Times New Roman"/>
          <w:sz w:val="24"/>
          <w:szCs w:val="24"/>
        </w:rPr>
      </w:pPr>
    </w:p>
    <w:p w14:paraId="6F7A8D67" w14:textId="77777777" w:rsidR="009409BA" w:rsidRDefault="009409BA"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Ainda conforme as diretrizes do Pacto Mundial, a adequada gestão de fronteiras equilibra os anseios pátrios relacionados à segurança nacional, bem como ao deslocamento facilitado em seus </w:t>
      </w:r>
      <w:r w:rsidRPr="00947CC1">
        <w:rPr>
          <w:rFonts w:ascii="Times New Roman" w:hAnsi="Times New Roman" w:cs="Times New Roman"/>
          <w:sz w:val="24"/>
          <w:szCs w:val="24"/>
        </w:rPr>
        <w:lastRenderedPageBreak/>
        <w:t xml:space="preserve">limites territoriais. Para tanto é essencial que as políticas e intervenções de gerenciamento de fronteiras sejam consolidadas em quatro áreas: </w:t>
      </w:r>
    </w:p>
    <w:p w14:paraId="4EF7BC72" w14:textId="77777777" w:rsidR="003209C8" w:rsidRPr="00947CC1" w:rsidRDefault="003209C8" w:rsidP="00F83317">
      <w:pPr>
        <w:spacing w:before="100" w:after="100" w:line="360" w:lineRule="auto"/>
        <w:ind w:firstLine="709"/>
        <w:jc w:val="both"/>
        <w:rPr>
          <w:rFonts w:ascii="Times New Roman" w:hAnsi="Times New Roman" w:cs="Times New Roman"/>
          <w:sz w:val="24"/>
          <w:szCs w:val="24"/>
        </w:rPr>
      </w:pPr>
    </w:p>
    <w:p w14:paraId="4E285190" w14:textId="20FF7FDC" w:rsidR="001D1367" w:rsidRPr="00947CC1" w:rsidRDefault="001D1367" w:rsidP="001D1367">
      <w:pPr>
        <w:spacing w:before="100" w:after="100" w:line="360" w:lineRule="auto"/>
        <w:jc w:val="center"/>
        <w:rPr>
          <w:rFonts w:ascii="Times New Roman" w:hAnsi="Times New Roman" w:cs="Times New Roman"/>
          <w:sz w:val="24"/>
          <w:szCs w:val="24"/>
        </w:rPr>
      </w:pPr>
      <w:r w:rsidRPr="00F83317">
        <w:rPr>
          <w:rFonts w:ascii="Times New Roman" w:hAnsi="Times New Roman" w:cs="Times New Roman"/>
          <w:sz w:val="24"/>
          <w:szCs w:val="24"/>
        </w:rPr>
        <w:t>Imagem 4 – Principais áreas de atuação no gerenciamento de fronteira</w:t>
      </w:r>
    </w:p>
    <w:p w14:paraId="0E451C40" w14:textId="6EC65CFA" w:rsidR="009409BA" w:rsidRPr="00947CC1" w:rsidRDefault="009409BA" w:rsidP="00B8750F">
      <w:pPr>
        <w:spacing w:before="100" w:after="100" w:line="360" w:lineRule="auto"/>
        <w:jc w:val="center"/>
        <w:rPr>
          <w:rFonts w:ascii="Times New Roman" w:hAnsi="Times New Roman" w:cs="Times New Roman"/>
          <w:sz w:val="24"/>
          <w:szCs w:val="24"/>
        </w:rPr>
      </w:pPr>
      <w:r w:rsidRPr="00947CC1">
        <w:rPr>
          <w:rFonts w:ascii="Times New Roman" w:hAnsi="Times New Roman" w:cs="Times New Roman"/>
          <w:noProof/>
          <w:lang w:eastAsia="pt-BR"/>
        </w:rPr>
        <w:drawing>
          <wp:inline distT="0" distB="0" distL="0" distR="0" wp14:anchorId="4AE9D922" wp14:editId="2A512CB3">
            <wp:extent cx="4813046" cy="6767353"/>
            <wp:effectExtent l="19050" t="19050" r="26035" b="146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0573" cy="6862299"/>
                    </a:xfrm>
                    <a:prstGeom prst="rect">
                      <a:avLst/>
                    </a:prstGeom>
                    <a:ln>
                      <a:solidFill>
                        <a:schemeClr val="tx1"/>
                      </a:solidFill>
                    </a:ln>
                  </pic:spPr>
                </pic:pic>
              </a:graphicData>
            </a:graphic>
          </wp:inline>
        </w:drawing>
      </w:r>
    </w:p>
    <w:p w14:paraId="6D7328C9" w14:textId="77777777" w:rsidR="004D2491" w:rsidRPr="00F83317" w:rsidRDefault="004D2491" w:rsidP="00F83317">
      <w:pPr>
        <w:spacing w:before="100" w:after="100" w:line="360" w:lineRule="auto"/>
        <w:ind w:firstLine="993"/>
        <w:rPr>
          <w:rFonts w:ascii="Times New Roman" w:hAnsi="Times New Roman" w:cs="Times New Roman"/>
          <w:sz w:val="20"/>
          <w:szCs w:val="20"/>
        </w:rPr>
      </w:pPr>
      <w:r w:rsidRPr="00F83317">
        <w:rPr>
          <w:rFonts w:ascii="Times New Roman" w:hAnsi="Times New Roman" w:cs="Times New Roman"/>
          <w:sz w:val="20"/>
          <w:szCs w:val="20"/>
        </w:rPr>
        <w:t>Fonte: Elaborado pelos autores</w:t>
      </w:r>
    </w:p>
    <w:p w14:paraId="1CD820A4" w14:textId="77777777" w:rsidR="004D2491" w:rsidRPr="00947CC1" w:rsidRDefault="004D2491" w:rsidP="00B95C13">
      <w:pPr>
        <w:spacing w:before="100" w:after="100" w:line="360" w:lineRule="auto"/>
        <w:jc w:val="both"/>
        <w:rPr>
          <w:rFonts w:ascii="Times New Roman" w:hAnsi="Times New Roman" w:cs="Times New Roman"/>
          <w:sz w:val="24"/>
          <w:szCs w:val="24"/>
        </w:rPr>
      </w:pPr>
    </w:p>
    <w:p w14:paraId="25212BAD" w14:textId="67DDDEDA" w:rsidR="005D0888" w:rsidRPr="00947CC1" w:rsidRDefault="005D0888"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O fluxo de pessoas, mercadorias e veículos aliado à extensão e à diversidade local de nossas fronteiras </w:t>
      </w:r>
      <w:r w:rsidR="009409BA" w:rsidRPr="00947CC1">
        <w:rPr>
          <w:rFonts w:ascii="Times New Roman" w:hAnsi="Times New Roman" w:cs="Times New Roman"/>
          <w:sz w:val="24"/>
          <w:szCs w:val="24"/>
        </w:rPr>
        <w:t xml:space="preserve">demandam </w:t>
      </w:r>
      <w:r w:rsidRPr="00947CC1">
        <w:rPr>
          <w:rFonts w:ascii="Times New Roman" w:hAnsi="Times New Roman" w:cs="Times New Roman"/>
          <w:sz w:val="24"/>
          <w:szCs w:val="24"/>
        </w:rPr>
        <w:t xml:space="preserve">a necessidade governamental em gerenciar e coordenar as ações de todas as </w:t>
      </w:r>
      <w:r w:rsidRPr="00947CC1">
        <w:rPr>
          <w:rFonts w:ascii="Times New Roman" w:hAnsi="Times New Roman" w:cs="Times New Roman"/>
          <w:sz w:val="24"/>
          <w:szCs w:val="24"/>
        </w:rPr>
        <w:lastRenderedPageBreak/>
        <w:t xml:space="preserve">partes envolvidas nesse processo. </w:t>
      </w:r>
      <w:r w:rsidR="00A842F5" w:rsidRPr="00947CC1">
        <w:rPr>
          <w:rFonts w:ascii="Times New Roman" w:hAnsi="Times New Roman" w:cs="Times New Roman"/>
          <w:sz w:val="24"/>
          <w:szCs w:val="24"/>
        </w:rPr>
        <w:t>Com efeito</w:t>
      </w:r>
      <w:r w:rsidRPr="00947CC1">
        <w:rPr>
          <w:rFonts w:ascii="Times New Roman" w:hAnsi="Times New Roman" w:cs="Times New Roman"/>
          <w:sz w:val="24"/>
          <w:szCs w:val="24"/>
        </w:rPr>
        <w:t xml:space="preserve">, a </w:t>
      </w:r>
      <w:r w:rsidR="00E93FA0">
        <w:rPr>
          <w:rFonts w:ascii="Times New Roman" w:hAnsi="Times New Roman" w:cs="Times New Roman"/>
          <w:sz w:val="24"/>
          <w:szCs w:val="24"/>
        </w:rPr>
        <w:t>G</w:t>
      </w:r>
      <w:r w:rsidRPr="00947CC1">
        <w:rPr>
          <w:rFonts w:ascii="Times New Roman" w:hAnsi="Times New Roman" w:cs="Times New Roman"/>
          <w:sz w:val="24"/>
          <w:szCs w:val="24"/>
        </w:rPr>
        <w:t xml:space="preserve">estão </w:t>
      </w:r>
      <w:r w:rsidR="00E93FA0">
        <w:rPr>
          <w:rFonts w:ascii="Times New Roman" w:hAnsi="Times New Roman" w:cs="Times New Roman"/>
          <w:sz w:val="24"/>
          <w:szCs w:val="24"/>
        </w:rPr>
        <w:t>C</w:t>
      </w:r>
      <w:r w:rsidR="00E93FA0" w:rsidRPr="00947CC1">
        <w:rPr>
          <w:rFonts w:ascii="Times New Roman" w:hAnsi="Times New Roman" w:cs="Times New Roman"/>
          <w:sz w:val="24"/>
          <w:szCs w:val="24"/>
        </w:rPr>
        <w:t xml:space="preserve">oordenada </w:t>
      </w:r>
      <w:r w:rsidRPr="00947CC1">
        <w:rPr>
          <w:rFonts w:ascii="Times New Roman" w:hAnsi="Times New Roman" w:cs="Times New Roman"/>
          <w:sz w:val="24"/>
          <w:szCs w:val="24"/>
        </w:rPr>
        <w:t xml:space="preserve">de </w:t>
      </w:r>
      <w:r w:rsidR="00E93FA0">
        <w:rPr>
          <w:rFonts w:ascii="Times New Roman" w:hAnsi="Times New Roman" w:cs="Times New Roman"/>
          <w:sz w:val="24"/>
          <w:szCs w:val="24"/>
        </w:rPr>
        <w:t>F</w:t>
      </w:r>
      <w:r w:rsidR="00E93FA0" w:rsidRPr="00947CC1">
        <w:rPr>
          <w:rFonts w:ascii="Times New Roman" w:hAnsi="Times New Roman" w:cs="Times New Roman"/>
          <w:sz w:val="24"/>
          <w:szCs w:val="24"/>
        </w:rPr>
        <w:t xml:space="preserve">ronteiras </w:t>
      </w:r>
      <w:r w:rsidRPr="00947CC1">
        <w:rPr>
          <w:rFonts w:ascii="Times New Roman" w:hAnsi="Times New Roman" w:cs="Times New Roman"/>
          <w:sz w:val="24"/>
          <w:szCs w:val="24"/>
        </w:rPr>
        <w:t xml:space="preserve">pode auxiliar a </w:t>
      </w:r>
      <w:r w:rsidR="00564430" w:rsidRPr="00947CC1">
        <w:rPr>
          <w:rFonts w:ascii="Times New Roman" w:hAnsi="Times New Roman" w:cs="Times New Roman"/>
          <w:sz w:val="24"/>
          <w:szCs w:val="24"/>
        </w:rPr>
        <w:t xml:space="preserve">aperfeiçoar </w:t>
      </w:r>
      <w:r w:rsidRPr="00947CC1">
        <w:rPr>
          <w:rFonts w:ascii="Times New Roman" w:hAnsi="Times New Roman" w:cs="Times New Roman"/>
          <w:sz w:val="24"/>
          <w:szCs w:val="24"/>
        </w:rPr>
        <w:t xml:space="preserve">o trânsito de pessoas, o controle fiscal e a segurança de suas </w:t>
      </w:r>
      <w:r w:rsidR="00E93FA0">
        <w:rPr>
          <w:rFonts w:ascii="Times New Roman" w:hAnsi="Times New Roman" w:cs="Times New Roman"/>
          <w:sz w:val="24"/>
          <w:szCs w:val="24"/>
        </w:rPr>
        <w:t>divisas</w:t>
      </w:r>
      <w:r w:rsidR="00E93FA0" w:rsidRPr="00947CC1">
        <w:rPr>
          <w:rFonts w:ascii="Times New Roman" w:hAnsi="Times New Roman" w:cs="Times New Roman"/>
          <w:sz w:val="24"/>
          <w:szCs w:val="24"/>
        </w:rPr>
        <w:t xml:space="preserve"> </w:t>
      </w:r>
      <w:r w:rsidRPr="00947CC1">
        <w:rPr>
          <w:rFonts w:ascii="Times New Roman" w:hAnsi="Times New Roman" w:cs="Times New Roman"/>
          <w:sz w:val="24"/>
          <w:szCs w:val="24"/>
        </w:rPr>
        <w:t>a partir de uma estrutura de eficácia e eficiência, pelo que minimiza a duplicação de esforços e maximiza o uso eficiente dos recursos públicos por meio de procedimentos institucionais, nacionais e internacionais de forma integrada.</w:t>
      </w:r>
    </w:p>
    <w:p w14:paraId="464F8022" w14:textId="3B59B9CB" w:rsidR="005D0888" w:rsidRPr="00947CC1" w:rsidRDefault="00A842F5"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Por outro lado,</w:t>
      </w:r>
      <w:r w:rsidR="005D0888" w:rsidRPr="00947CC1">
        <w:rPr>
          <w:rFonts w:ascii="Times New Roman" w:hAnsi="Times New Roman" w:cs="Times New Roman"/>
          <w:sz w:val="24"/>
          <w:szCs w:val="24"/>
        </w:rPr>
        <w:t xml:space="preserve"> a ausência de gerenciamento reduz substancialmente a eficácia dos controles e os benefícios das medidas de facilitação adotadas pelo país. Com</w:t>
      </w:r>
      <w:r w:rsidRPr="00947CC1">
        <w:rPr>
          <w:rFonts w:ascii="Times New Roman" w:hAnsi="Times New Roman" w:cs="Times New Roman"/>
          <w:sz w:val="24"/>
          <w:szCs w:val="24"/>
        </w:rPr>
        <w:t>o</w:t>
      </w:r>
      <w:r w:rsidR="005D0888" w:rsidRPr="00947CC1">
        <w:rPr>
          <w:rFonts w:ascii="Times New Roman" w:hAnsi="Times New Roman" w:cs="Times New Roman"/>
          <w:sz w:val="24"/>
          <w:szCs w:val="24"/>
        </w:rPr>
        <w:t xml:space="preserve"> reflexo, também é limitada a eficiência na aplicação dos recursos públicos.</w:t>
      </w:r>
      <w:r w:rsidR="004B3D8D" w:rsidRPr="00947CC1">
        <w:rPr>
          <w:rFonts w:ascii="Times New Roman" w:hAnsi="Times New Roman" w:cs="Times New Roman"/>
          <w:sz w:val="24"/>
          <w:szCs w:val="24"/>
        </w:rPr>
        <w:t xml:space="preserve"> Ainda, a gestão integral e coordenada de fronteiras, envolve não somente o fluxo de pessoas, a questão da segurança e defesa nacional ou os controles aduaneiros, pelo que se deve considerar, também, a migração ordenada, segura e digna, a aplicação de medidas sanitárias eficazes e o fortalecimento de estratégias de saúde pública, entre outras.</w:t>
      </w:r>
    </w:p>
    <w:p w14:paraId="346E6842" w14:textId="45BB32FA" w:rsidR="00B95C13" w:rsidRPr="00947CC1" w:rsidRDefault="00B95C13"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É nesse contexto que a </w:t>
      </w:r>
      <w:r w:rsidR="006E34AD" w:rsidRPr="00F83317">
        <w:rPr>
          <w:rFonts w:ascii="Times New Roman" w:hAnsi="Times New Roman" w:cs="Times New Roman"/>
          <w:sz w:val="24"/>
          <w:szCs w:val="24"/>
        </w:rPr>
        <w:t>Gestão</w:t>
      </w:r>
      <w:r w:rsidRPr="00F83317">
        <w:rPr>
          <w:rFonts w:ascii="Times New Roman" w:hAnsi="Times New Roman" w:cs="Times New Roman"/>
          <w:sz w:val="24"/>
          <w:szCs w:val="24"/>
        </w:rPr>
        <w:t xml:space="preserve"> de Riscos (</w:t>
      </w:r>
      <w:r w:rsidR="00F83317" w:rsidRPr="00F83317">
        <w:rPr>
          <w:rFonts w:ascii="Times New Roman" w:hAnsi="Times New Roman" w:cs="Times New Roman"/>
          <w:sz w:val="24"/>
          <w:szCs w:val="24"/>
        </w:rPr>
        <w:t>G</w:t>
      </w:r>
      <w:r w:rsidRPr="00F83317">
        <w:rPr>
          <w:rFonts w:ascii="Times New Roman" w:hAnsi="Times New Roman" w:cs="Times New Roman"/>
          <w:sz w:val="24"/>
          <w:szCs w:val="24"/>
        </w:rPr>
        <w:t>R)</w:t>
      </w:r>
      <w:r w:rsidRPr="00947CC1">
        <w:rPr>
          <w:rFonts w:ascii="Times New Roman" w:hAnsi="Times New Roman" w:cs="Times New Roman"/>
          <w:sz w:val="24"/>
          <w:szCs w:val="24"/>
        </w:rPr>
        <w:t xml:space="preserve"> pode auxiliar </w:t>
      </w:r>
      <w:r w:rsidR="004B3D8D" w:rsidRPr="00947CC1">
        <w:rPr>
          <w:rFonts w:ascii="Times New Roman" w:hAnsi="Times New Roman" w:cs="Times New Roman"/>
          <w:sz w:val="24"/>
          <w:szCs w:val="24"/>
        </w:rPr>
        <w:t>este</w:t>
      </w:r>
      <w:r w:rsidRPr="00947CC1">
        <w:rPr>
          <w:rFonts w:ascii="Times New Roman" w:hAnsi="Times New Roman" w:cs="Times New Roman"/>
          <w:sz w:val="24"/>
          <w:szCs w:val="24"/>
        </w:rPr>
        <w:t xml:space="preserve"> processo, ao identificar</w:t>
      </w:r>
      <w:r w:rsidR="002701DD" w:rsidRPr="00947CC1">
        <w:rPr>
          <w:rFonts w:ascii="Times New Roman" w:hAnsi="Times New Roman" w:cs="Times New Roman"/>
          <w:sz w:val="24"/>
          <w:szCs w:val="24"/>
        </w:rPr>
        <w:t xml:space="preserve">, por </w:t>
      </w:r>
      <w:r w:rsidR="00E93FA0">
        <w:rPr>
          <w:rFonts w:ascii="Times New Roman" w:hAnsi="Times New Roman" w:cs="Times New Roman"/>
          <w:sz w:val="24"/>
          <w:szCs w:val="24"/>
        </w:rPr>
        <w:t>intermédio</w:t>
      </w:r>
      <w:r w:rsidR="00E93FA0" w:rsidRPr="00947CC1">
        <w:rPr>
          <w:rFonts w:ascii="Times New Roman" w:hAnsi="Times New Roman" w:cs="Times New Roman"/>
          <w:sz w:val="24"/>
          <w:szCs w:val="24"/>
        </w:rPr>
        <w:t xml:space="preserve"> </w:t>
      </w:r>
      <w:r w:rsidR="002701DD" w:rsidRPr="00947CC1">
        <w:rPr>
          <w:rFonts w:ascii="Times New Roman" w:hAnsi="Times New Roman" w:cs="Times New Roman"/>
          <w:sz w:val="24"/>
          <w:szCs w:val="24"/>
        </w:rPr>
        <w:t>de tratamento de informações,</w:t>
      </w:r>
      <w:r w:rsidRPr="00947CC1">
        <w:rPr>
          <w:rFonts w:ascii="Times New Roman" w:hAnsi="Times New Roman" w:cs="Times New Roman"/>
          <w:sz w:val="24"/>
          <w:szCs w:val="24"/>
        </w:rPr>
        <w:t xml:space="preserve"> o equilíbrio entre o controle e a facilitação de acesso. Ou seja, </w:t>
      </w:r>
      <w:r w:rsidR="004B3D8D" w:rsidRPr="00947CC1">
        <w:rPr>
          <w:rFonts w:ascii="Times New Roman" w:hAnsi="Times New Roman" w:cs="Times New Roman"/>
          <w:sz w:val="24"/>
          <w:szCs w:val="24"/>
        </w:rPr>
        <w:t xml:space="preserve">até que ponto </w:t>
      </w:r>
      <w:r w:rsidRPr="00947CC1">
        <w:rPr>
          <w:rFonts w:ascii="Times New Roman" w:hAnsi="Times New Roman" w:cs="Times New Roman"/>
          <w:sz w:val="24"/>
          <w:szCs w:val="24"/>
        </w:rPr>
        <w:t xml:space="preserve">é possível </w:t>
      </w:r>
      <w:r w:rsidR="004B3D8D" w:rsidRPr="00947CC1">
        <w:rPr>
          <w:rFonts w:ascii="Times New Roman" w:hAnsi="Times New Roman" w:cs="Times New Roman"/>
          <w:sz w:val="24"/>
          <w:szCs w:val="24"/>
        </w:rPr>
        <w:t xml:space="preserve">facilitar a circulação de </w:t>
      </w:r>
      <w:r w:rsidR="003D5C0D" w:rsidRPr="00947CC1">
        <w:rPr>
          <w:rFonts w:ascii="Times New Roman" w:hAnsi="Times New Roman" w:cs="Times New Roman"/>
          <w:sz w:val="24"/>
          <w:szCs w:val="24"/>
        </w:rPr>
        <w:t>usuários de baixo risco e oferecer-lhes um tratamento diferenciado</w:t>
      </w:r>
      <w:r w:rsidR="004B3D8D" w:rsidRPr="00947CC1">
        <w:rPr>
          <w:rFonts w:ascii="Times New Roman" w:hAnsi="Times New Roman" w:cs="Times New Roman"/>
          <w:sz w:val="24"/>
          <w:szCs w:val="24"/>
        </w:rPr>
        <w:t xml:space="preserve"> sem comprometer o controle fiscal, a segurança, a facilitação do comércio</w:t>
      </w:r>
      <w:r w:rsidR="003D5C0D" w:rsidRPr="00947CC1">
        <w:rPr>
          <w:rFonts w:ascii="Times New Roman" w:hAnsi="Times New Roman" w:cs="Times New Roman"/>
          <w:sz w:val="24"/>
          <w:szCs w:val="24"/>
        </w:rPr>
        <w:t xml:space="preserve"> e</w:t>
      </w:r>
      <w:r w:rsidR="004B3D8D" w:rsidRPr="00947CC1">
        <w:rPr>
          <w:rFonts w:ascii="Times New Roman" w:hAnsi="Times New Roman" w:cs="Times New Roman"/>
          <w:sz w:val="24"/>
          <w:szCs w:val="24"/>
        </w:rPr>
        <w:t xml:space="preserve"> o combate a crimes </w:t>
      </w:r>
      <w:proofErr w:type="spellStart"/>
      <w:r w:rsidR="004B3D8D" w:rsidRPr="00947CC1">
        <w:rPr>
          <w:rFonts w:ascii="Times New Roman" w:hAnsi="Times New Roman" w:cs="Times New Roman"/>
          <w:sz w:val="24"/>
          <w:szCs w:val="24"/>
        </w:rPr>
        <w:t>transfronteiriços</w:t>
      </w:r>
      <w:proofErr w:type="spellEnd"/>
      <w:r w:rsidRPr="00947CC1">
        <w:rPr>
          <w:rFonts w:ascii="Times New Roman" w:hAnsi="Times New Roman" w:cs="Times New Roman"/>
          <w:sz w:val="24"/>
          <w:szCs w:val="24"/>
        </w:rPr>
        <w:t xml:space="preserve">. </w:t>
      </w:r>
    </w:p>
    <w:p w14:paraId="70DB4010" w14:textId="2635965B" w:rsidR="004B3D8D" w:rsidRPr="00F83317" w:rsidRDefault="004B3D8D" w:rsidP="00B95C13">
      <w:pPr>
        <w:spacing w:before="100" w:after="100" w:line="360" w:lineRule="auto"/>
        <w:jc w:val="both"/>
        <w:rPr>
          <w:rFonts w:ascii="Times New Roman" w:hAnsi="Times New Roman" w:cs="Times New Roman"/>
          <w:sz w:val="24"/>
          <w:szCs w:val="24"/>
        </w:rPr>
      </w:pPr>
    </w:p>
    <w:p w14:paraId="70D5F44D" w14:textId="5A2C1DC4" w:rsidR="004B3D8D" w:rsidRPr="00947CC1" w:rsidRDefault="00CE69F0" w:rsidP="004B3D8D">
      <w:pPr>
        <w:pStyle w:val="PargrafodaLista"/>
        <w:numPr>
          <w:ilvl w:val="0"/>
          <w:numId w:val="1"/>
        </w:numPr>
        <w:spacing w:before="100" w:after="100" w:line="360" w:lineRule="auto"/>
        <w:jc w:val="both"/>
        <w:rPr>
          <w:rFonts w:ascii="Times New Roman" w:hAnsi="Times New Roman" w:cs="Times New Roman"/>
          <w:b/>
          <w:lang w:val="pt-BR"/>
        </w:rPr>
      </w:pPr>
      <w:r w:rsidRPr="00947CC1">
        <w:rPr>
          <w:rFonts w:ascii="Times New Roman" w:hAnsi="Times New Roman" w:cs="Times New Roman"/>
          <w:b/>
          <w:lang w:val="pt-BR"/>
        </w:rPr>
        <w:t xml:space="preserve">Gestão e </w:t>
      </w:r>
      <w:r w:rsidR="004B3D8D" w:rsidRPr="00947CC1">
        <w:rPr>
          <w:rFonts w:ascii="Times New Roman" w:hAnsi="Times New Roman" w:cs="Times New Roman"/>
          <w:b/>
          <w:lang w:val="pt-BR"/>
        </w:rPr>
        <w:t>Análise de Risco</w:t>
      </w:r>
      <w:r w:rsidRPr="00947CC1">
        <w:rPr>
          <w:rFonts w:ascii="Times New Roman" w:hAnsi="Times New Roman" w:cs="Times New Roman"/>
          <w:b/>
          <w:lang w:val="pt-BR"/>
        </w:rPr>
        <w:t>s</w:t>
      </w:r>
      <w:r w:rsidR="004B3D8D" w:rsidRPr="00947CC1">
        <w:rPr>
          <w:rFonts w:ascii="Times New Roman" w:hAnsi="Times New Roman" w:cs="Times New Roman"/>
          <w:b/>
          <w:lang w:val="pt-BR"/>
        </w:rPr>
        <w:t xml:space="preserve"> </w:t>
      </w:r>
    </w:p>
    <w:p w14:paraId="0CFFCA65" w14:textId="77777777" w:rsidR="001D1367" w:rsidRPr="00947CC1" w:rsidRDefault="001D1367" w:rsidP="00FE280F">
      <w:pPr>
        <w:spacing w:before="100" w:after="100" w:line="360" w:lineRule="auto"/>
        <w:jc w:val="both"/>
        <w:rPr>
          <w:rFonts w:ascii="Times New Roman" w:hAnsi="Times New Roman" w:cs="Times New Roman"/>
        </w:rPr>
      </w:pPr>
    </w:p>
    <w:p w14:paraId="1903B546" w14:textId="4C2FFE90" w:rsidR="00D3260B" w:rsidRPr="00947CC1" w:rsidRDefault="007F667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O risco está presente no contexto dos negócios de todas as instituições, seja do setor público ou privado.</w:t>
      </w:r>
      <w:r w:rsidR="006A100D" w:rsidRPr="00947CC1">
        <w:rPr>
          <w:rFonts w:ascii="Times New Roman" w:hAnsi="Times New Roman" w:cs="Times New Roman"/>
          <w:sz w:val="24"/>
          <w:szCs w:val="24"/>
        </w:rPr>
        <w:t xml:space="preserve"> No </w:t>
      </w:r>
      <w:r w:rsidR="00EC23D1" w:rsidRPr="00947CC1">
        <w:rPr>
          <w:rFonts w:ascii="Times New Roman" w:hAnsi="Times New Roman" w:cs="Times New Roman"/>
          <w:sz w:val="24"/>
          <w:szCs w:val="24"/>
        </w:rPr>
        <w:t xml:space="preserve">âmbito </w:t>
      </w:r>
      <w:r w:rsidR="006A100D" w:rsidRPr="00947CC1">
        <w:rPr>
          <w:rFonts w:ascii="Times New Roman" w:hAnsi="Times New Roman" w:cs="Times New Roman"/>
          <w:sz w:val="24"/>
          <w:szCs w:val="24"/>
        </w:rPr>
        <w:t xml:space="preserve">da Gestão Coordenada de Fronteiras, analisar </w:t>
      </w:r>
      <w:r w:rsidR="009B11BC" w:rsidRPr="00947CC1">
        <w:rPr>
          <w:rFonts w:ascii="Times New Roman" w:hAnsi="Times New Roman" w:cs="Times New Roman"/>
          <w:sz w:val="24"/>
          <w:szCs w:val="24"/>
        </w:rPr>
        <w:t>o</w:t>
      </w:r>
      <w:r w:rsidR="006A100D" w:rsidRPr="00947CC1">
        <w:rPr>
          <w:rFonts w:ascii="Times New Roman" w:hAnsi="Times New Roman" w:cs="Times New Roman"/>
          <w:sz w:val="24"/>
          <w:szCs w:val="24"/>
        </w:rPr>
        <w:t xml:space="preserve"> risco por meio de uma abordagem estruturada é fundamental, na medida em que se busca identificar e avaliar ameaças</w:t>
      </w:r>
      <w:r w:rsidR="00564430" w:rsidRPr="00947CC1">
        <w:rPr>
          <w:rFonts w:ascii="Times New Roman" w:hAnsi="Times New Roman" w:cs="Times New Roman"/>
          <w:sz w:val="24"/>
          <w:szCs w:val="24"/>
        </w:rPr>
        <w:t>,</w:t>
      </w:r>
      <w:r w:rsidR="006A100D" w:rsidRPr="00947CC1">
        <w:rPr>
          <w:rFonts w:ascii="Times New Roman" w:hAnsi="Times New Roman" w:cs="Times New Roman"/>
          <w:sz w:val="24"/>
          <w:szCs w:val="24"/>
        </w:rPr>
        <w:t xml:space="preserve"> e estabelecer estratégias e procedimentos para a sua devida prevenção e tratamento, seja sob o ponto de vista do Estado, seja sob o escopo do migrante.</w:t>
      </w:r>
      <w:r w:rsidR="00D3260B" w:rsidRPr="00947CC1">
        <w:rPr>
          <w:rFonts w:ascii="Times New Roman" w:hAnsi="Times New Roman" w:cs="Times New Roman"/>
          <w:sz w:val="24"/>
          <w:szCs w:val="24"/>
        </w:rPr>
        <w:t xml:space="preserve"> </w:t>
      </w:r>
    </w:p>
    <w:p w14:paraId="1135FA7F" w14:textId="2E785045" w:rsidR="007F667C" w:rsidRPr="00947CC1" w:rsidRDefault="007F667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O termo risco </w:t>
      </w:r>
      <w:r w:rsidR="00EC23D1" w:rsidRPr="00947CC1">
        <w:rPr>
          <w:rFonts w:ascii="Times New Roman" w:hAnsi="Times New Roman" w:cs="Times New Roman"/>
          <w:sz w:val="24"/>
          <w:szCs w:val="24"/>
        </w:rPr>
        <w:t>notabilizou-se</w:t>
      </w:r>
      <w:r w:rsidRPr="00947CC1">
        <w:rPr>
          <w:rFonts w:ascii="Times New Roman" w:hAnsi="Times New Roman" w:cs="Times New Roman"/>
          <w:sz w:val="24"/>
          <w:szCs w:val="24"/>
        </w:rPr>
        <w:t xml:space="preserve"> na última metade do século passado (WILLIAMS, 1985), </w:t>
      </w:r>
      <w:r w:rsidR="00EC23D1" w:rsidRPr="00947CC1">
        <w:rPr>
          <w:rFonts w:ascii="Times New Roman" w:hAnsi="Times New Roman" w:cs="Times New Roman"/>
          <w:sz w:val="24"/>
          <w:szCs w:val="24"/>
        </w:rPr>
        <w:t>quando</w:t>
      </w:r>
      <w:r w:rsidRPr="00947CC1">
        <w:rPr>
          <w:rFonts w:ascii="Times New Roman" w:hAnsi="Times New Roman" w:cs="Times New Roman"/>
          <w:sz w:val="24"/>
          <w:szCs w:val="24"/>
        </w:rPr>
        <w:t xml:space="preserve"> políticos, organizações civis, pesquisadores, especialistas, militares, editores e diversas instituições perceberam a necessidade de se enfrentar de maneira mais sistemática os problemas a ele relacionados (RENN, 2008). A partir de então, com a pesquisa e evolução dos métodos, algumas definições sobre riscos foram criadas, por meio de pesquisadores, normativos internos e normas internacionais</w:t>
      </w:r>
      <w:r w:rsidR="00EC23D1" w:rsidRPr="00947CC1">
        <w:rPr>
          <w:rFonts w:ascii="Times New Roman" w:hAnsi="Times New Roman" w:cs="Times New Roman"/>
          <w:sz w:val="24"/>
          <w:szCs w:val="24"/>
        </w:rPr>
        <w:t xml:space="preserve"> (ANDRADE, 2017)</w:t>
      </w:r>
      <w:r w:rsidR="009B11BC" w:rsidRPr="00947CC1">
        <w:rPr>
          <w:rFonts w:ascii="Times New Roman" w:hAnsi="Times New Roman" w:cs="Times New Roman"/>
          <w:sz w:val="24"/>
          <w:szCs w:val="24"/>
        </w:rPr>
        <w:t>. No meio acadêmico</w:t>
      </w:r>
      <w:r w:rsidR="00D26838" w:rsidRPr="00947CC1">
        <w:rPr>
          <w:rFonts w:ascii="Times New Roman" w:hAnsi="Times New Roman" w:cs="Times New Roman"/>
          <w:sz w:val="24"/>
          <w:szCs w:val="24"/>
        </w:rPr>
        <w:t xml:space="preserve"> e corporativo</w:t>
      </w:r>
      <w:r w:rsidR="009B11BC" w:rsidRPr="00947CC1">
        <w:rPr>
          <w:rFonts w:ascii="Times New Roman" w:hAnsi="Times New Roman" w:cs="Times New Roman"/>
          <w:sz w:val="24"/>
          <w:szCs w:val="24"/>
        </w:rPr>
        <w:t xml:space="preserve">, </w:t>
      </w:r>
      <w:r w:rsidR="00CA7C78">
        <w:rPr>
          <w:rFonts w:ascii="Times New Roman" w:hAnsi="Times New Roman" w:cs="Times New Roman"/>
          <w:sz w:val="24"/>
          <w:szCs w:val="24"/>
        </w:rPr>
        <w:t>há</w:t>
      </w:r>
      <w:r w:rsidR="00CA7C78" w:rsidRPr="00947CC1">
        <w:rPr>
          <w:rFonts w:ascii="Times New Roman" w:hAnsi="Times New Roman" w:cs="Times New Roman"/>
          <w:sz w:val="24"/>
          <w:szCs w:val="24"/>
        </w:rPr>
        <w:t xml:space="preserve"> </w:t>
      </w:r>
      <w:r w:rsidR="009B11BC" w:rsidRPr="00947CC1">
        <w:rPr>
          <w:rFonts w:ascii="Times New Roman" w:hAnsi="Times New Roman" w:cs="Times New Roman"/>
          <w:sz w:val="24"/>
          <w:szCs w:val="24"/>
        </w:rPr>
        <w:t>diversas definições aceitas para descrevê-lo, a depender da declaração do objetivo da análise ou do contexto definido</w:t>
      </w:r>
      <w:r w:rsidRPr="00947CC1">
        <w:rPr>
          <w:rFonts w:ascii="Times New Roman" w:hAnsi="Times New Roman" w:cs="Times New Roman"/>
          <w:sz w:val="24"/>
          <w:szCs w:val="24"/>
        </w:rPr>
        <w:t>:</w:t>
      </w:r>
    </w:p>
    <w:p w14:paraId="5ED7A24B" w14:textId="77777777" w:rsidR="007F667C" w:rsidRPr="00947CC1" w:rsidRDefault="007F667C" w:rsidP="007F667C">
      <w:pPr>
        <w:spacing w:before="100" w:after="100" w:line="360" w:lineRule="auto"/>
        <w:jc w:val="both"/>
        <w:rPr>
          <w:rFonts w:ascii="Times New Roman" w:hAnsi="Times New Roman" w:cs="Times New Roman"/>
          <w:sz w:val="24"/>
          <w:szCs w:val="24"/>
        </w:rPr>
      </w:pPr>
    </w:p>
    <w:p w14:paraId="0DACCFF8" w14:textId="5F4E882D" w:rsidR="007F667C" w:rsidRPr="00947CC1" w:rsidRDefault="007F667C" w:rsidP="007F667C">
      <w:pPr>
        <w:numPr>
          <w:ilvl w:val="0"/>
          <w:numId w:val="10"/>
        </w:numPr>
        <w:spacing w:before="100" w:after="100" w:line="360" w:lineRule="auto"/>
        <w:ind w:left="851"/>
        <w:jc w:val="both"/>
        <w:rPr>
          <w:rFonts w:ascii="Times New Roman" w:hAnsi="Times New Roman" w:cs="Times New Roman"/>
          <w:sz w:val="24"/>
          <w:szCs w:val="24"/>
        </w:rPr>
      </w:pPr>
      <w:r w:rsidRPr="00947CC1">
        <w:rPr>
          <w:rFonts w:ascii="Times New Roman" w:hAnsi="Times New Roman" w:cs="Times New Roman"/>
          <w:sz w:val="24"/>
          <w:szCs w:val="24"/>
        </w:rPr>
        <w:lastRenderedPageBreak/>
        <w:t>Incerteza de resultado de ações e eventos (</w:t>
      </w:r>
      <w:r w:rsidRPr="00947CC1">
        <w:rPr>
          <w:rFonts w:ascii="Times New Roman" w:hAnsi="Times New Roman" w:cs="Times New Roman"/>
          <w:i/>
          <w:sz w:val="24"/>
          <w:szCs w:val="24"/>
        </w:rPr>
        <w:t>Orange Book</w:t>
      </w:r>
      <w:r w:rsidR="00A4154E" w:rsidRPr="00947CC1">
        <w:rPr>
          <w:rStyle w:val="Refdenotaderodap"/>
          <w:rFonts w:ascii="Times New Roman" w:hAnsi="Times New Roman" w:cs="Times New Roman"/>
        </w:rPr>
        <w:footnoteReference w:id="5"/>
      </w:r>
      <w:r w:rsidRPr="00947CC1">
        <w:rPr>
          <w:rFonts w:ascii="Times New Roman" w:hAnsi="Times New Roman" w:cs="Times New Roman"/>
          <w:sz w:val="24"/>
          <w:szCs w:val="24"/>
        </w:rPr>
        <w:t>);</w:t>
      </w:r>
    </w:p>
    <w:p w14:paraId="39B31FA1" w14:textId="5152A91F" w:rsidR="007F667C" w:rsidRPr="00947CC1" w:rsidRDefault="007F667C" w:rsidP="007F667C">
      <w:pPr>
        <w:numPr>
          <w:ilvl w:val="0"/>
          <w:numId w:val="10"/>
        </w:numPr>
        <w:spacing w:before="100" w:after="100" w:line="360" w:lineRule="auto"/>
        <w:ind w:left="851"/>
        <w:jc w:val="both"/>
        <w:rPr>
          <w:rFonts w:ascii="Times New Roman" w:hAnsi="Times New Roman" w:cs="Times New Roman"/>
          <w:sz w:val="24"/>
          <w:szCs w:val="24"/>
        </w:rPr>
      </w:pPr>
      <w:r w:rsidRPr="00947CC1">
        <w:rPr>
          <w:rFonts w:ascii="Times New Roman" w:hAnsi="Times New Roman" w:cs="Times New Roman"/>
          <w:sz w:val="24"/>
          <w:szCs w:val="24"/>
        </w:rPr>
        <w:t>Efeito da incerteza nos objetivos (ISO 31000</w:t>
      </w:r>
      <w:r w:rsidR="00EC23D1" w:rsidRPr="00947CC1">
        <w:rPr>
          <w:rFonts w:ascii="Times New Roman" w:hAnsi="Times New Roman" w:cs="Times New Roman"/>
          <w:sz w:val="24"/>
          <w:szCs w:val="24"/>
        </w:rPr>
        <w:t>:2018)</w:t>
      </w:r>
      <w:r w:rsidRPr="00947CC1">
        <w:rPr>
          <w:rFonts w:ascii="Times New Roman" w:hAnsi="Times New Roman" w:cs="Times New Roman"/>
          <w:sz w:val="24"/>
          <w:szCs w:val="24"/>
        </w:rPr>
        <w:t>;</w:t>
      </w:r>
    </w:p>
    <w:p w14:paraId="6B2EF6FB" w14:textId="56D430E9" w:rsidR="00D26838" w:rsidRPr="00947CC1" w:rsidRDefault="00D26838" w:rsidP="00837635">
      <w:pPr>
        <w:numPr>
          <w:ilvl w:val="0"/>
          <w:numId w:val="10"/>
        </w:numPr>
        <w:spacing w:before="100" w:after="100" w:line="360" w:lineRule="auto"/>
        <w:ind w:left="851"/>
        <w:jc w:val="both"/>
        <w:rPr>
          <w:rFonts w:ascii="Times New Roman" w:hAnsi="Times New Roman" w:cs="Times New Roman"/>
          <w:sz w:val="24"/>
          <w:szCs w:val="24"/>
        </w:rPr>
      </w:pPr>
      <w:r w:rsidRPr="00947CC1">
        <w:rPr>
          <w:rFonts w:ascii="Times New Roman" w:hAnsi="Times New Roman" w:cs="Times New Roman"/>
          <w:sz w:val="24"/>
          <w:szCs w:val="24"/>
        </w:rPr>
        <w:t>Risco é a possibilidade de que um determinado evento indesejável ocorra. (COSO II ERM 2004);</w:t>
      </w:r>
    </w:p>
    <w:p w14:paraId="27D148B8" w14:textId="28455868" w:rsidR="007F667C" w:rsidRPr="00947CC1" w:rsidRDefault="007F667C" w:rsidP="007F667C">
      <w:pPr>
        <w:numPr>
          <w:ilvl w:val="0"/>
          <w:numId w:val="10"/>
        </w:numPr>
        <w:spacing w:before="100" w:after="100" w:line="360" w:lineRule="auto"/>
        <w:ind w:left="851"/>
        <w:jc w:val="both"/>
        <w:rPr>
          <w:rFonts w:ascii="Times New Roman" w:hAnsi="Times New Roman" w:cs="Times New Roman"/>
          <w:sz w:val="24"/>
          <w:szCs w:val="24"/>
        </w:rPr>
      </w:pPr>
      <w:r w:rsidRPr="00947CC1">
        <w:rPr>
          <w:rFonts w:ascii="Times New Roman" w:hAnsi="Times New Roman" w:cs="Times New Roman"/>
          <w:sz w:val="24"/>
          <w:szCs w:val="24"/>
        </w:rPr>
        <w:t>Possibilidade de ocorrência de um evento que venha a ter impacto no cumprimento dos objetivos (IN 01/2016</w:t>
      </w:r>
      <w:r w:rsidR="00A4154E" w:rsidRPr="00947CC1">
        <w:rPr>
          <w:rStyle w:val="Refdenotaderodap"/>
          <w:rFonts w:ascii="Times New Roman" w:hAnsi="Times New Roman" w:cs="Times New Roman"/>
        </w:rPr>
        <w:footnoteReference w:id="6"/>
      </w:r>
      <w:r w:rsidRPr="00947CC1">
        <w:rPr>
          <w:rFonts w:ascii="Times New Roman" w:hAnsi="Times New Roman" w:cs="Times New Roman"/>
          <w:sz w:val="24"/>
          <w:szCs w:val="24"/>
        </w:rPr>
        <w:t>).</w:t>
      </w:r>
    </w:p>
    <w:p w14:paraId="22DF7D88" w14:textId="233EA5EF" w:rsidR="007F667C" w:rsidRPr="00947CC1" w:rsidRDefault="007F667C" w:rsidP="007F667C">
      <w:pPr>
        <w:spacing w:before="100" w:after="100" w:line="360" w:lineRule="auto"/>
        <w:jc w:val="both"/>
        <w:rPr>
          <w:rFonts w:ascii="Times New Roman" w:hAnsi="Times New Roman" w:cs="Times New Roman"/>
          <w:sz w:val="24"/>
          <w:szCs w:val="24"/>
        </w:rPr>
      </w:pPr>
    </w:p>
    <w:p w14:paraId="399836E2" w14:textId="19C1EE4C" w:rsidR="00CE69F0" w:rsidRPr="00947CC1" w:rsidRDefault="00CE69F0"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Não obstante, os conceitos e as formas de se avaliar o </w:t>
      </w:r>
      <w:r w:rsidRPr="00497C86">
        <w:rPr>
          <w:rFonts w:ascii="Times New Roman" w:hAnsi="Times New Roman" w:cs="Times New Roman"/>
          <w:sz w:val="24"/>
          <w:szCs w:val="24"/>
        </w:rPr>
        <w:t>risco</w:t>
      </w:r>
      <w:r w:rsidRPr="00947CC1">
        <w:rPr>
          <w:rFonts w:ascii="Times New Roman" w:hAnsi="Times New Roman" w:cs="Times New Roman"/>
          <w:sz w:val="24"/>
          <w:szCs w:val="24"/>
        </w:rPr>
        <w:t xml:space="preserve"> variam em função do objetivo, da escolha de metodologias, da complexidade das medidas de </w:t>
      </w:r>
      <w:r w:rsidRPr="00497C86">
        <w:rPr>
          <w:rFonts w:ascii="Times New Roman" w:hAnsi="Times New Roman" w:cs="Times New Roman"/>
          <w:sz w:val="24"/>
          <w:szCs w:val="24"/>
        </w:rPr>
        <w:t>risco</w:t>
      </w:r>
      <w:r w:rsidRPr="00947CC1">
        <w:rPr>
          <w:rFonts w:ascii="Times New Roman" w:hAnsi="Times New Roman" w:cs="Times New Roman"/>
          <w:sz w:val="24"/>
          <w:szCs w:val="24"/>
        </w:rPr>
        <w:t xml:space="preserve"> e na atividade instrumental e social da sua perspectiva. Entretanto, é universal o entendimento de que </w:t>
      </w:r>
      <w:r w:rsidRPr="00497C86">
        <w:rPr>
          <w:rFonts w:ascii="Times New Roman" w:hAnsi="Times New Roman" w:cs="Times New Roman"/>
          <w:sz w:val="24"/>
          <w:szCs w:val="24"/>
        </w:rPr>
        <w:t>risco</w:t>
      </w:r>
      <w:r w:rsidRPr="00947CC1">
        <w:rPr>
          <w:rFonts w:ascii="Times New Roman" w:hAnsi="Times New Roman" w:cs="Times New Roman"/>
          <w:sz w:val="24"/>
          <w:szCs w:val="24"/>
        </w:rPr>
        <w:t xml:space="preserve"> é a incerteza dos resultados, ou seja, refere-se à hesitação quanto a futuros desdobramentos de um determinado evento (ANDRADE, 2017).</w:t>
      </w:r>
    </w:p>
    <w:p w14:paraId="54887EA7" w14:textId="77777777" w:rsidR="002C5289" w:rsidRDefault="00741909"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O </w:t>
      </w:r>
      <w:r w:rsidRPr="00497C86">
        <w:rPr>
          <w:rFonts w:ascii="Times New Roman" w:hAnsi="Times New Roman" w:cs="Times New Roman"/>
          <w:sz w:val="24"/>
          <w:szCs w:val="24"/>
        </w:rPr>
        <w:t>risco</w:t>
      </w:r>
      <w:r w:rsidRPr="00947CC1">
        <w:rPr>
          <w:rFonts w:ascii="Times New Roman" w:hAnsi="Times New Roman" w:cs="Times New Roman"/>
          <w:sz w:val="24"/>
          <w:szCs w:val="24"/>
        </w:rPr>
        <w:t xml:space="preserve"> é processado por </w:t>
      </w:r>
      <w:r w:rsidR="00564430" w:rsidRPr="00947CC1">
        <w:rPr>
          <w:rFonts w:ascii="Times New Roman" w:hAnsi="Times New Roman" w:cs="Times New Roman"/>
          <w:sz w:val="24"/>
          <w:szCs w:val="24"/>
        </w:rPr>
        <w:t xml:space="preserve">intermédio </w:t>
      </w:r>
      <w:r w:rsidRPr="00947CC1">
        <w:rPr>
          <w:rFonts w:ascii="Times New Roman" w:hAnsi="Times New Roman" w:cs="Times New Roman"/>
          <w:sz w:val="24"/>
          <w:szCs w:val="24"/>
        </w:rPr>
        <w:t>de uma estrutura</w:t>
      </w:r>
      <w:r w:rsidR="009C46BB" w:rsidRPr="00947CC1">
        <w:rPr>
          <w:rFonts w:ascii="Times New Roman" w:hAnsi="Times New Roman" w:cs="Times New Roman"/>
          <w:sz w:val="24"/>
          <w:szCs w:val="24"/>
        </w:rPr>
        <w:t xml:space="preserve"> nomeada</w:t>
      </w:r>
      <w:r w:rsidRPr="00947CC1">
        <w:rPr>
          <w:rFonts w:ascii="Times New Roman" w:hAnsi="Times New Roman" w:cs="Times New Roman"/>
          <w:sz w:val="24"/>
          <w:szCs w:val="24"/>
        </w:rPr>
        <w:t xml:space="preserve"> Análise de Riscos</w:t>
      </w:r>
      <w:r w:rsidR="00244CA9">
        <w:rPr>
          <w:rFonts w:ascii="Times New Roman" w:hAnsi="Times New Roman" w:cs="Times New Roman"/>
          <w:sz w:val="24"/>
          <w:szCs w:val="24"/>
        </w:rPr>
        <w:t xml:space="preserve"> (AR)</w:t>
      </w:r>
      <w:r w:rsidRPr="00947CC1">
        <w:rPr>
          <w:rFonts w:ascii="Times New Roman" w:hAnsi="Times New Roman" w:cs="Times New Roman"/>
          <w:sz w:val="24"/>
          <w:szCs w:val="24"/>
        </w:rPr>
        <w:t xml:space="preserve">, que, por sua vez, </w:t>
      </w:r>
      <w:r w:rsidR="00EC23D1" w:rsidRPr="00947CC1">
        <w:rPr>
          <w:rFonts w:ascii="Times New Roman" w:hAnsi="Times New Roman" w:cs="Times New Roman"/>
          <w:sz w:val="24"/>
          <w:szCs w:val="24"/>
        </w:rPr>
        <w:t xml:space="preserve">é uma ferramenta a ser desenvolvida em um processo mais </w:t>
      </w:r>
      <w:r w:rsidRPr="00947CC1">
        <w:rPr>
          <w:rFonts w:ascii="Times New Roman" w:hAnsi="Times New Roman" w:cs="Times New Roman"/>
          <w:sz w:val="24"/>
          <w:szCs w:val="24"/>
        </w:rPr>
        <w:t>amplo</w:t>
      </w:r>
      <w:r w:rsidR="00EC23D1" w:rsidRPr="00947CC1">
        <w:rPr>
          <w:rFonts w:ascii="Times New Roman" w:hAnsi="Times New Roman" w:cs="Times New Roman"/>
          <w:sz w:val="24"/>
          <w:szCs w:val="24"/>
        </w:rPr>
        <w:t>, conhecido como Gestão de Riscos</w:t>
      </w:r>
      <w:r w:rsidRPr="00947CC1">
        <w:rPr>
          <w:rFonts w:ascii="Times New Roman" w:hAnsi="Times New Roman" w:cs="Times New Roman"/>
          <w:sz w:val="24"/>
          <w:szCs w:val="24"/>
        </w:rPr>
        <w:t xml:space="preserve">. </w:t>
      </w:r>
      <w:r w:rsidR="00564430" w:rsidRPr="00947CC1">
        <w:rPr>
          <w:rFonts w:ascii="Times New Roman" w:hAnsi="Times New Roman" w:cs="Times New Roman"/>
          <w:sz w:val="24"/>
          <w:szCs w:val="24"/>
        </w:rPr>
        <w:t>Est</w:t>
      </w:r>
      <w:r w:rsidR="00047DA9" w:rsidRPr="00947CC1">
        <w:rPr>
          <w:rFonts w:ascii="Times New Roman" w:hAnsi="Times New Roman" w:cs="Times New Roman"/>
          <w:sz w:val="24"/>
          <w:szCs w:val="24"/>
        </w:rPr>
        <w:t>a</w:t>
      </w:r>
      <w:r w:rsidR="00EC23D1" w:rsidRPr="00947CC1">
        <w:rPr>
          <w:rFonts w:ascii="Times New Roman" w:hAnsi="Times New Roman" w:cs="Times New Roman"/>
          <w:sz w:val="24"/>
          <w:szCs w:val="24"/>
        </w:rPr>
        <w:t xml:space="preserve"> é </w:t>
      </w:r>
      <w:r w:rsidRPr="00947CC1">
        <w:rPr>
          <w:rFonts w:ascii="Times New Roman" w:hAnsi="Times New Roman" w:cs="Times New Roman"/>
          <w:sz w:val="24"/>
          <w:szCs w:val="24"/>
        </w:rPr>
        <w:t>definida por um</w:t>
      </w:r>
      <w:r w:rsidR="00EC23D1" w:rsidRPr="00947CC1">
        <w:rPr>
          <w:rFonts w:ascii="Times New Roman" w:hAnsi="Times New Roman" w:cs="Times New Roman"/>
          <w:sz w:val="24"/>
          <w:szCs w:val="24"/>
        </w:rPr>
        <w:t xml:space="preserve"> conjunto das atividades coordenadas para dirigir e controlar uma </w:t>
      </w:r>
      <w:r w:rsidRPr="00947CC1">
        <w:rPr>
          <w:rFonts w:ascii="Times New Roman" w:hAnsi="Times New Roman" w:cs="Times New Roman"/>
          <w:sz w:val="24"/>
          <w:szCs w:val="24"/>
        </w:rPr>
        <w:t>organização, ou um tema,</w:t>
      </w:r>
      <w:r w:rsidR="00EC23D1" w:rsidRPr="00947CC1">
        <w:rPr>
          <w:rFonts w:ascii="Times New Roman" w:hAnsi="Times New Roman" w:cs="Times New Roman"/>
          <w:sz w:val="24"/>
          <w:szCs w:val="24"/>
        </w:rPr>
        <w:t xml:space="preserve"> no que se refere ao </w:t>
      </w:r>
      <w:r w:rsidR="00EC23D1" w:rsidRPr="00497C86">
        <w:rPr>
          <w:rFonts w:ascii="Times New Roman" w:hAnsi="Times New Roman" w:cs="Times New Roman"/>
          <w:sz w:val="24"/>
          <w:szCs w:val="24"/>
        </w:rPr>
        <w:t>risco</w:t>
      </w:r>
      <w:r w:rsidR="00EC23D1" w:rsidRPr="00947CC1">
        <w:rPr>
          <w:rFonts w:ascii="Times New Roman" w:hAnsi="Times New Roman" w:cs="Times New Roman"/>
          <w:sz w:val="24"/>
          <w:szCs w:val="24"/>
        </w:rPr>
        <w:t xml:space="preserve">. </w:t>
      </w:r>
    </w:p>
    <w:p w14:paraId="42B8C3A8" w14:textId="072C9623" w:rsidR="00EC23D1" w:rsidRPr="00947CC1" w:rsidRDefault="00EC23D1"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Portanto, a AR é o processo por meio do qual se entende a natureza do </w:t>
      </w:r>
      <w:r w:rsidRPr="00497C86">
        <w:rPr>
          <w:rFonts w:ascii="Times New Roman" w:hAnsi="Times New Roman" w:cs="Times New Roman"/>
          <w:sz w:val="24"/>
          <w:szCs w:val="24"/>
        </w:rPr>
        <w:t>risco</w:t>
      </w:r>
      <w:r w:rsidRPr="00947CC1">
        <w:rPr>
          <w:rFonts w:ascii="Times New Roman" w:hAnsi="Times New Roman" w:cs="Times New Roman"/>
          <w:sz w:val="24"/>
          <w:szCs w:val="24"/>
        </w:rPr>
        <w:t xml:space="preserve"> e a consequente determinação de seu nível, sendo base para a </w:t>
      </w:r>
      <w:r w:rsidRPr="003209C8">
        <w:rPr>
          <w:rFonts w:ascii="Times New Roman" w:hAnsi="Times New Roman" w:cs="Times New Roman"/>
          <w:sz w:val="24"/>
          <w:szCs w:val="24"/>
        </w:rPr>
        <w:t>Gestão de Riscos</w:t>
      </w:r>
      <w:r w:rsidR="003209C8">
        <w:rPr>
          <w:rFonts w:ascii="Times New Roman" w:hAnsi="Times New Roman" w:cs="Times New Roman"/>
          <w:sz w:val="24"/>
          <w:szCs w:val="24"/>
        </w:rPr>
        <w:t xml:space="preserve"> (imagem 5)</w:t>
      </w:r>
      <w:r w:rsidR="00A4154E" w:rsidRPr="00947CC1">
        <w:rPr>
          <w:rFonts w:ascii="Times New Roman" w:hAnsi="Times New Roman" w:cs="Times New Roman"/>
          <w:sz w:val="24"/>
          <w:szCs w:val="24"/>
        </w:rPr>
        <w:t xml:space="preserve">, procedimento indicado </w:t>
      </w:r>
      <w:r w:rsidR="00D26838" w:rsidRPr="00947CC1">
        <w:rPr>
          <w:rFonts w:ascii="Times New Roman" w:hAnsi="Times New Roman" w:cs="Times New Roman"/>
          <w:sz w:val="24"/>
          <w:szCs w:val="24"/>
        </w:rPr>
        <w:t xml:space="preserve">para identificar </w:t>
      </w:r>
      <w:r w:rsidR="00A4154E" w:rsidRPr="00947CC1">
        <w:rPr>
          <w:rFonts w:ascii="Times New Roman" w:hAnsi="Times New Roman" w:cs="Times New Roman"/>
          <w:sz w:val="24"/>
          <w:szCs w:val="24"/>
        </w:rPr>
        <w:t>o equilíbrio entre controle e facilitação em um gerenciamento eficiente de fronteiras.</w:t>
      </w:r>
    </w:p>
    <w:p w14:paraId="5C8D03F9" w14:textId="77777777" w:rsidR="003209C8" w:rsidRPr="00F83317" w:rsidRDefault="003209C8" w:rsidP="00DE1A5D">
      <w:pPr>
        <w:spacing w:before="100" w:after="100" w:line="360" w:lineRule="auto"/>
        <w:jc w:val="center"/>
        <w:rPr>
          <w:rFonts w:ascii="Times New Roman" w:hAnsi="Times New Roman" w:cs="Times New Roman"/>
          <w:sz w:val="24"/>
          <w:szCs w:val="24"/>
        </w:rPr>
      </w:pPr>
    </w:p>
    <w:p w14:paraId="12F4D9BD" w14:textId="1677B2A0" w:rsidR="00DE1A5D" w:rsidRPr="00947CC1" w:rsidRDefault="003209C8" w:rsidP="00F83317">
      <w:pPr>
        <w:spacing w:before="100" w:after="100" w:line="360" w:lineRule="auto"/>
        <w:jc w:val="center"/>
        <w:rPr>
          <w:rFonts w:ascii="Times New Roman" w:hAnsi="Times New Roman" w:cs="Times New Roman"/>
          <w:sz w:val="24"/>
          <w:szCs w:val="24"/>
        </w:rPr>
      </w:pPr>
      <w:r w:rsidRPr="00F83317">
        <w:rPr>
          <w:rFonts w:ascii="Times New Roman" w:hAnsi="Times New Roman" w:cs="Times New Roman"/>
          <w:sz w:val="24"/>
          <w:szCs w:val="24"/>
        </w:rPr>
        <w:t>Imagem 5 – Gestão de riscos</w:t>
      </w:r>
    </w:p>
    <w:p w14:paraId="5651D4D7" w14:textId="1C5F2A41" w:rsidR="00DE1A5D" w:rsidRPr="00947CC1" w:rsidRDefault="00DE1A5D" w:rsidP="00DE1A5D">
      <w:pPr>
        <w:spacing w:before="100" w:after="100" w:line="360" w:lineRule="auto"/>
        <w:jc w:val="center"/>
        <w:rPr>
          <w:rFonts w:ascii="Times New Roman" w:hAnsi="Times New Roman" w:cs="Times New Roman"/>
          <w:sz w:val="24"/>
          <w:szCs w:val="24"/>
        </w:rPr>
      </w:pPr>
      <w:r w:rsidRPr="00947CC1">
        <w:rPr>
          <w:rFonts w:ascii="Times New Roman" w:hAnsi="Times New Roman" w:cs="Times New Roman"/>
          <w:noProof/>
          <w:lang w:eastAsia="pt-BR"/>
        </w:rPr>
        <w:lastRenderedPageBreak/>
        <w:drawing>
          <wp:inline distT="0" distB="0" distL="0" distR="0" wp14:anchorId="09E4B38B" wp14:editId="33F1FF2E">
            <wp:extent cx="4441645" cy="3833165"/>
            <wp:effectExtent l="19050" t="19050" r="16510" b="152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9614" cy="3857302"/>
                    </a:xfrm>
                    <a:prstGeom prst="rect">
                      <a:avLst/>
                    </a:prstGeom>
                    <a:ln>
                      <a:solidFill>
                        <a:schemeClr val="tx1"/>
                      </a:solidFill>
                    </a:ln>
                  </pic:spPr>
                </pic:pic>
              </a:graphicData>
            </a:graphic>
          </wp:inline>
        </w:drawing>
      </w:r>
    </w:p>
    <w:p w14:paraId="6F911E93" w14:textId="77777777" w:rsidR="004D2491" w:rsidRPr="00F83317" w:rsidRDefault="004D2491" w:rsidP="00F83317">
      <w:pPr>
        <w:spacing w:before="100" w:after="100" w:line="360" w:lineRule="auto"/>
        <w:ind w:left="1416"/>
        <w:rPr>
          <w:rFonts w:ascii="Times New Roman" w:hAnsi="Times New Roman" w:cs="Times New Roman"/>
          <w:sz w:val="20"/>
          <w:szCs w:val="20"/>
        </w:rPr>
      </w:pPr>
      <w:r w:rsidRPr="00F83317">
        <w:rPr>
          <w:rFonts w:ascii="Times New Roman" w:hAnsi="Times New Roman" w:cs="Times New Roman"/>
          <w:sz w:val="20"/>
          <w:szCs w:val="20"/>
        </w:rPr>
        <w:t>Fonte: Elaborado pelos autores</w:t>
      </w:r>
    </w:p>
    <w:p w14:paraId="1AB4FDA7" w14:textId="77777777" w:rsidR="004D2491" w:rsidRPr="00947CC1" w:rsidRDefault="004D2491" w:rsidP="00147E9D">
      <w:pPr>
        <w:spacing w:before="100" w:after="100" w:line="360" w:lineRule="auto"/>
        <w:jc w:val="both"/>
        <w:rPr>
          <w:rFonts w:ascii="Times New Roman" w:hAnsi="Times New Roman" w:cs="Times New Roman"/>
          <w:sz w:val="24"/>
          <w:szCs w:val="24"/>
        </w:rPr>
      </w:pPr>
    </w:p>
    <w:p w14:paraId="1EFEC457" w14:textId="5CE54A1F" w:rsidR="00147E9D" w:rsidRPr="00947CC1" w:rsidRDefault="00147E9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Embora existam diversas metodologias de análise de riscos, a modelagem específica deve ser concebida com base no objetivo que se deseja alcançar. Em outras palavras, </w:t>
      </w:r>
      <w:r w:rsidR="00D4765E" w:rsidRPr="00947CC1">
        <w:rPr>
          <w:rFonts w:ascii="Times New Roman" w:hAnsi="Times New Roman" w:cs="Times New Roman"/>
          <w:sz w:val="24"/>
          <w:szCs w:val="24"/>
        </w:rPr>
        <w:t xml:space="preserve">para uma Gestão Coordenada de Fronteiras, </w:t>
      </w:r>
      <w:r w:rsidRPr="00947CC1">
        <w:rPr>
          <w:rFonts w:ascii="Times New Roman" w:hAnsi="Times New Roman" w:cs="Times New Roman"/>
          <w:sz w:val="24"/>
          <w:szCs w:val="24"/>
        </w:rPr>
        <w:t xml:space="preserve">a </w:t>
      </w:r>
      <w:r w:rsidR="00CA7C78">
        <w:rPr>
          <w:rFonts w:ascii="Times New Roman" w:hAnsi="Times New Roman" w:cs="Times New Roman"/>
          <w:sz w:val="24"/>
          <w:szCs w:val="24"/>
        </w:rPr>
        <w:t>AR</w:t>
      </w:r>
      <w:r w:rsidRPr="00947CC1">
        <w:rPr>
          <w:rFonts w:ascii="Times New Roman" w:hAnsi="Times New Roman" w:cs="Times New Roman"/>
          <w:sz w:val="24"/>
          <w:szCs w:val="24"/>
        </w:rPr>
        <w:t xml:space="preserve"> </w:t>
      </w:r>
      <w:r w:rsidR="00D4765E" w:rsidRPr="00947CC1">
        <w:rPr>
          <w:rFonts w:ascii="Times New Roman" w:hAnsi="Times New Roman" w:cs="Times New Roman"/>
          <w:sz w:val="24"/>
          <w:szCs w:val="24"/>
        </w:rPr>
        <w:t>deve ser elaborada</w:t>
      </w:r>
      <w:r w:rsidRPr="00947CC1">
        <w:rPr>
          <w:rFonts w:ascii="Times New Roman" w:hAnsi="Times New Roman" w:cs="Times New Roman"/>
          <w:sz w:val="24"/>
          <w:szCs w:val="24"/>
        </w:rPr>
        <w:t xml:space="preserve"> sob medida, pois é preciso considerar o contexto interno e externo de um dado país,</w:t>
      </w:r>
      <w:r w:rsidR="00047DA9" w:rsidRPr="00947CC1">
        <w:rPr>
          <w:rFonts w:ascii="Times New Roman" w:hAnsi="Times New Roman" w:cs="Times New Roman"/>
          <w:sz w:val="24"/>
          <w:szCs w:val="24"/>
        </w:rPr>
        <w:t xml:space="preserve"> suas peculiaridades,</w:t>
      </w:r>
      <w:r w:rsidRPr="00947CC1">
        <w:rPr>
          <w:rFonts w:ascii="Times New Roman" w:hAnsi="Times New Roman" w:cs="Times New Roman"/>
          <w:sz w:val="24"/>
          <w:szCs w:val="24"/>
        </w:rPr>
        <w:t xml:space="preserve"> os respectivos normativos nacionais e internacionais, as dinâmicas de fluxos migratórios e os interesses nacionais associados. </w:t>
      </w:r>
    </w:p>
    <w:p w14:paraId="2EBF0996" w14:textId="635961C6" w:rsidR="00147E9D" w:rsidRPr="00947CC1" w:rsidRDefault="00147E9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Dessa forma, a</w:t>
      </w:r>
      <w:r w:rsidR="003209C8">
        <w:rPr>
          <w:rFonts w:ascii="Times New Roman" w:hAnsi="Times New Roman" w:cs="Times New Roman"/>
          <w:sz w:val="24"/>
          <w:szCs w:val="24"/>
        </w:rPr>
        <w:t xml:space="preserve"> imagem 5</w:t>
      </w:r>
      <w:r w:rsidRPr="00947CC1">
        <w:rPr>
          <w:rFonts w:ascii="Times New Roman" w:hAnsi="Times New Roman" w:cs="Times New Roman"/>
          <w:sz w:val="24"/>
          <w:szCs w:val="24"/>
        </w:rPr>
        <w:t xml:space="preserve"> </w:t>
      </w:r>
      <w:r w:rsidR="00D4765E" w:rsidRPr="00947CC1">
        <w:rPr>
          <w:rFonts w:ascii="Times New Roman" w:hAnsi="Times New Roman" w:cs="Times New Roman"/>
          <w:sz w:val="24"/>
          <w:szCs w:val="24"/>
        </w:rPr>
        <w:t>refere-se</w:t>
      </w:r>
      <w:r w:rsidRPr="00947CC1">
        <w:rPr>
          <w:rFonts w:ascii="Times New Roman" w:hAnsi="Times New Roman" w:cs="Times New Roman"/>
          <w:sz w:val="24"/>
          <w:szCs w:val="24"/>
        </w:rPr>
        <w:t xml:space="preserve"> </w:t>
      </w:r>
      <w:r w:rsidR="00D4765E" w:rsidRPr="00947CC1">
        <w:rPr>
          <w:rFonts w:ascii="Times New Roman" w:hAnsi="Times New Roman" w:cs="Times New Roman"/>
          <w:sz w:val="24"/>
          <w:szCs w:val="24"/>
        </w:rPr>
        <w:t xml:space="preserve">à propositura de </w:t>
      </w:r>
      <w:r w:rsidRPr="00947CC1">
        <w:rPr>
          <w:rFonts w:ascii="Times New Roman" w:hAnsi="Times New Roman" w:cs="Times New Roman"/>
          <w:sz w:val="24"/>
          <w:szCs w:val="24"/>
        </w:rPr>
        <w:t>um framework genérico</w:t>
      </w:r>
      <w:r w:rsidR="00B832F9" w:rsidRPr="00947CC1">
        <w:rPr>
          <w:rFonts w:ascii="Times New Roman" w:hAnsi="Times New Roman" w:cs="Times New Roman"/>
          <w:sz w:val="24"/>
          <w:szCs w:val="24"/>
        </w:rPr>
        <w:t xml:space="preserve"> de Gestão de Riscos</w:t>
      </w:r>
      <w:r w:rsidR="00D4765E"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 que </w:t>
      </w:r>
      <w:r w:rsidR="00D4765E" w:rsidRPr="00947CC1">
        <w:rPr>
          <w:rFonts w:ascii="Times New Roman" w:hAnsi="Times New Roman" w:cs="Times New Roman"/>
          <w:sz w:val="24"/>
          <w:szCs w:val="24"/>
        </w:rPr>
        <w:t>deverá ser instrumentalizado com ferramentas específicas -</w:t>
      </w:r>
      <w:r w:rsidRPr="00947CC1">
        <w:rPr>
          <w:rFonts w:ascii="Times New Roman" w:hAnsi="Times New Roman" w:cs="Times New Roman"/>
          <w:sz w:val="24"/>
          <w:szCs w:val="24"/>
        </w:rPr>
        <w:t xml:space="preserve">, desenvolvido </w:t>
      </w:r>
      <w:r w:rsidR="00D4765E" w:rsidRPr="00947CC1">
        <w:rPr>
          <w:rFonts w:ascii="Times New Roman" w:hAnsi="Times New Roman" w:cs="Times New Roman"/>
          <w:sz w:val="24"/>
          <w:szCs w:val="24"/>
        </w:rPr>
        <w:t>pelas</w:t>
      </w:r>
      <w:r w:rsidRPr="00947CC1">
        <w:rPr>
          <w:rFonts w:ascii="Times New Roman" w:hAnsi="Times New Roman" w:cs="Times New Roman"/>
          <w:sz w:val="24"/>
          <w:szCs w:val="24"/>
        </w:rPr>
        <w:t xml:space="preserve"> seguintes fases: (I) </w:t>
      </w:r>
      <w:r w:rsidR="00B832F9" w:rsidRPr="00947CC1">
        <w:rPr>
          <w:rFonts w:ascii="Times New Roman" w:hAnsi="Times New Roman" w:cs="Times New Roman"/>
          <w:sz w:val="24"/>
          <w:szCs w:val="24"/>
        </w:rPr>
        <w:t>Estabelecimento do Contexto</w:t>
      </w:r>
      <w:r w:rsidRPr="00947CC1">
        <w:rPr>
          <w:rFonts w:ascii="Times New Roman" w:hAnsi="Times New Roman" w:cs="Times New Roman"/>
          <w:sz w:val="24"/>
          <w:szCs w:val="24"/>
        </w:rPr>
        <w:t xml:space="preserve"> (políticas, cenários e prioridades do país); (II) Identificação de riscos, (III) Estimativa de riscos; </w:t>
      </w:r>
      <w:r w:rsidR="00B832F9" w:rsidRPr="00947CC1">
        <w:rPr>
          <w:rFonts w:ascii="Times New Roman" w:hAnsi="Times New Roman" w:cs="Times New Roman"/>
          <w:sz w:val="24"/>
          <w:szCs w:val="24"/>
        </w:rPr>
        <w:t xml:space="preserve">e </w:t>
      </w:r>
      <w:r w:rsidRPr="00947CC1">
        <w:rPr>
          <w:rFonts w:ascii="Times New Roman" w:hAnsi="Times New Roman" w:cs="Times New Roman"/>
          <w:sz w:val="24"/>
          <w:szCs w:val="24"/>
        </w:rPr>
        <w:t>(IV) Avaliação de Riscos</w:t>
      </w:r>
      <w:r w:rsidR="00B832F9" w:rsidRPr="00947CC1">
        <w:rPr>
          <w:rFonts w:ascii="Times New Roman" w:hAnsi="Times New Roman" w:cs="Times New Roman"/>
          <w:sz w:val="24"/>
          <w:szCs w:val="24"/>
        </w:rPr>
        <w:t>. Além das etapas, a estrutura sugere os seguintes processos:</w:t>
      </w:r>
      <w:r w:rsidRPr="00947CC1">
        <w:rPr>
          <w:rFonts w:ascii="Times New Roman" w:hAnsi="Times New Roman" w:cs="Times New Roman"/>
          <w:sz w:val="24"/>
          <w:szCs w:val="24"/>
        </w:rPr>
        <w:t xml:space="preserve"> </w:t>
      </w:r>
      <w:r w:rsidR="00B832F9" w:rsidRPr="00947CC1">
        <w:rPr>
          <w:rFonts w:ascii="Times New Roman" w:hAnsi="Times New Roman" w:cs="Times New Roman"/>
          <w:sz w:val="24"/>
          <w:szCs w:val="24"/>
        </w:rPr>
        <w:t xml:space="preserve">Monitoramento e Análise Crítica, Comunicação e Consulta e Tratamento de Riscos, </w:t>
      </w:r>
      <w:r w:rsidRPr="00947CC1">
        <w:rPr>
          <w:rFonts w:ascii="Times New Roman" w:hAnsi="Times New Roman" w:cs="Times New Roman"/>
          <w:sz w:val="24"/>
          <w:szCs w:val="24"/>
        </w:rPr>
        <w:t xml:space="preserve">em um círculo virtuoso contínuo que se retroalimenta e fortalece o modelo, transformando o processo de análise em </w:t>
      </w:r>
      <w:r w:rsidR="00CA7C78">
        <w:rPr>
          <w:rFonts w:ascii="Times New Roman" w:hAnsi="Times New Roman" w:cs="Times New Roman"/>
          <w:sz w:val="24"/>
          <w:szCs w:val="24"/>
        </w:rPr>
        <w:t>GR</w:t>
      </w:r>
      <w:r w:rsidRPr="00947CC1">
        <w:rPr>
          <w:rFonts w:ascii="Times New Roman" w:hAnsi="Times New Roman" w:cs="Times New Roman"/>
          <w:sz w:val="24"/>
          <w:szCs w:val="24"/>
        </w:rPr>
        <w:t>.</w:t>
      </w:r>
    </w:p>
    <w:p w14:paraId="2A61717E" w14:textId="74001AD9" w:rsidR="00FE280F" w:rsidRPr="00947CC1" w:rsidRDefault="009B11B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Nesse contexto</w:t>
      </w:r>
      <w:r w:rsidR="0083533D" w:rsidRPr="00947CC1">
        <w:rPr>
          <w:rFonts w:ascii="Times New Roman" w:hAnsi="Times New Roman" w:cs="Times New Roman"/>
          <w:sz w:val="24"/>
          <w:szCs w:val="24"/>
        </w:rPr>
        <w:t>, a</w:t>
      </w:r>
      <w:r w:rsidR="00FE280F" w:rsidRPr="00947CC1">
        <w:rPr>
          <w:rFonts w:ascii="Times New Roman" w:hAnsi="Times New Roman" w:cs="Times New Roman"/>
          <w:sz w:val="24"/>
          <w:szCs w:val="24"/>
        </w:rPr>
        <w:t xml:space="preserve"> </w:t>
      </w:r>
      <w:r w:rsidR="0085588B" w:rsidRPr="00947CC1">
        <w:rPr>
          <w:rFonts w:ascii="Times New Roman" w:hAnsi="Times New Roman" w:cs="Times New Roman"/>
          <w:sz w:val="24"/>
          <w:szCs w:val="24"/>
        </w:rPr>
        <w:t>G</w:t>
      </w:r>
      <w:r w:rsidR="00EE0C2F" w:rsidRPr="00947CC1">
        <w:rPr>
          <w:rFonts w:ascii="Times New Roman" w:hAnsi="Times New Roman" w:cs="Times New Roman"/>
          <w:sz w:val="24"/>
          <w:szCs w:val="24"/>
        </w:rPr>
        <w:t xml:space="preserve">estão </w:t>
      </w:r>
      <w:r w:rsidR="00FE280F" w:rsidRPr="00947CC1">
        <w:rPr>
          <w:rFonts w:ascii="Times New Roman" w:hAnsi="Times New Roman" w:cs="Times New Roman"/>
          <w:sz w:val="24"/>
          <w:szCs w:val="24"/>
        </w:rPr>
        <w:t xml:space="preserve">de </w:t>
      </w:r>
      <w:r w:rsidR="0085588B" w:rsidRPr="00947CC1">
        <w:rPr>
          <w:rFonts w:ascii="Times New Roman" w:hAnsi="Times New Roman" w:cs="Times New Roman"/>
          <w:sz w:val="24"/>
          <w:szCs w:val="24"/>
        </w:rPr>
        <w:t>R</w:t>
      </w:r>
      <w:r w:rsidR="00FE280F" w:rsidRPr="00947CC1">
        <w:rPr>
          <w:rFonts w:ascii="Times New Roman" w:hAnsi="Times New Roman" w:cs="Times New Roman"/>
          <w:sz w:val="24"/>
          <w:szCs w:val="24"/>
        </w:rPr>
        <w:t>isco</w:t>
      </w:r>
      <w:r w:rsidR="00EE0C2F" w:rsidRPr="00947CC1">
        <w:rPr>
          <w:rFonts w:ascii="Times New Roman" w:hAnsi="Times New Roman" w:cs="Times New Roman"/>
          <w:sz w:val="24"/>
          <w:szCs w:val="24"/>
        </w:rPr>
        <w:t>s</w:t>
      </w:r>
      <w:r w:rsidR="00FE280F" w:rsidRPr="00947CC1">
        <w:rPr>
          <w:rFonts w:ascii="Times New Roman" w:hAnsi="Times New Roman" w:cs="Times New Roman"/>
          <w:sz w:val="24"/>
          <w:szCs w:val="24"/>
        </w:rPr>
        <w:t xml:space="preserve"> </w:t>
      </w:r>
      <w:r w:rsidR="00D04893" w:rsidRPr="00947CC1">
        <w:rPr>
          <w:rFonts w:ascii="Times New Roman" w:hAnsi="Times New Roman" w:cs="Times New Roman"/>
          <w:sz w:val="24"/>
          <w:szCs w:val="24"/>
        </w:rPr>
        <w:t xml:space="preserve">é um instrumento essencial para </w:t>
      </w:r>
      <w:r w:rsidR="00FE280F" w:rsidRPr="00947CC1">
        <w:rPr>
          <w:rFonts w:ascii="Times New Roman" w:hAnsi="Times New Roman" w:cs="Times New Roman"/>
          <w:sz w:val="24"/>
          <w:szCs w:val="24"/>
        </w:rPr>
        <w:t xml:space="preserve">a Gestão Coordenada de Fronteiras, pois </w:t>
      </w:r>
      <w:r w:rsidR="00A75AF4" w:rsidRPr="00947CC1">
        <w:rPr>
          <w:rFonts w:ascii="Times New Roman" w:hAnsi="Times New Roman" w:cs="Times New Roman"/>
          <w:sz w:val="24"/>
          <w:szCs w:val="24"/>
        </w:rPr>
        <w:t xml:space="preserve">é capaz de </w:t>
      </w:r>
      <w:r w:rsidR="00FE280F" w:rsidRPr="00947CC1">
        <w:rPr>
          <w:rFonts w:ascii="Times New Roman" w:hAnsi="Times New Roman" w:cs="Times New Roman"/>
          <w:sz w:val="24"/>
          <w:szCs w:val="24"/>
        </w:rPr>
        <w:t>trata</w:t>
      </w:r>
      <w:r w:rsidR="00A75AF4" w:rsidRPr="00947CC1">
        <w:rPr>
          <w:rFonts w:ascii="Times New Roman" w:hAnsi="Times New Roman" w:cs="Times New Roman"/>
          <w:sz w:val="24"/>
          <w:szCs w:val="24"/>
        </w:rPr>
        <w:t>r</w:t>
      </w:r>
      <w:r w:rsidR="00FE280F" w:rsidRPr="00947CC1">
        <w:rPr>
          <w:rFonts w:ascii="Times New Roman" w:hAnsi="Times New Roman" w:cs="Times New Roman"/>
          <w:sz w:val="24"/>
          <w:szCs w:val="24"/>
        </w:rPr>
        <w:t xml:space="preserve"> </w:t>
      </w:r>
      <w:r w:rsidR="00AB1432" w:rsidRPr="00947CC1">
        <w:rPr>
          <w:rFonts w:ascii="Times New Roman" w:hAnsi="Times New Roman" w:cs="Times New Roman"/>
          <w:sz w:val="24"/>
          <w:szCs w:val="24"/>
        </w:rPr>
        <w:t>um</w:t>
      </w:r>
      <w:r w:rsidR="00FE280F" w:rsidRPr="00947CC1">
        <w:rPr>
          <w:rFonts w:ascii="Times New Roman" w:hAnsi="Times New Roman" w:cs="Times New Roman"/>
          <w:sz w:val="24"/>
          <w:szCs w:val="24"/>
        </w:rPr>
        <w:t xml:space="preserve"> complexo sistema de componentes correlacionados, como recursos, resultados ou objetivos desejados, proteção dos direitos humanos e a salvaguarda da sociedade</w:t>
      </w:r>
      <w:r w:rsidR="00EE0C2F" w:rsidRPr="00947CC1">
        <w:rPr>
          <w:rFonts w:ascii="Times New Roman" w:hAnsi="Times New Roman" w:cs="Times New Roman"/>
          <w:sz w:val="24"/>
          <w:szCs w:val="24"/>
        </w:rPr>
        <w:t>: quan</w:t>
      </w:r>
      <w:r w:rsidR="00FE280F" w:rsidRPr="00947CC1">
        <w:rPr>
          <w:rFonts w:ascii="Times New Roman" w:hAnsi="Times New Roman" w:cs="Times New Roman"/>
          <w:sz w:val="24"/>
          <w:szCs w:val="24"/>
        </w:rPr>
        <w:t xml:space="preserve">to melhor se entender </w:t>
      </w:r>
      <w:r w:rsidR="00EE0C2F" w:rsidRPr="00947CC1">
        <w:rPr>
          <w:rFonts w:ascii="Times New Roman" w:hAnsi="Times New Roman" w:cs="Times New Roman"/>
          <w:sz w:val="24"/>
          <w:szCs w:val="24"/>
        </w:rPr>
        <w:t>a dinâmica fronteiriça</w:t>
      </w:r>
      <w:r w:rsidR="00FE280F" w:rsidRPr="00947CC1">
        <w:rPr>
          <w:rFonts w:ascii="Times New Roman" w:hAnsi="Times New Roman" w:cs="Times New Roman"/>
          <w:sz w:val="24"/>
          <w:szCs w:val="24"/>
        </w:rPr>
        <w:t xml:space="preserve"> em termos de riscos, melhor será a decisão governamental para a gestão integrada e eficaz das fronteiras.</w:t>
      </w:r>
    </w:p>
    <w:p w14:paraId="4F483F9C" w14:textId="47D6C185" w:rsidR="00C623A1" w:rsidRPr="00947CC1" w:rsidRDefault="00C623A1"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lastRenderedPageBreak/>
        <w:t>A responsabilidade de se construir uma sociedade livre, justa e solidária, notadamente sob o ponto de vista da proteção dos direitos fundamentais dos migrantes, sem preconceitos de origem, raça, sexo, cor, idade e quaisquer outras formas de discriminação, traz consigo a necessidade de</w:t>
      </w:r>
      <w:r w:rsidR="0085588B" w:rsidRPr="00947CC1">
        <w:rPr>
          <w:rFonts w:ascii="Times New Roman" w:hAnsi="Times New Roman" w:cs="Times New Roman"/>
          <w:sz w:val="24"/>
          <w:szCs w:val="24"/>
        </w:rPr>
        <w:t xml:space="preserve"> se</w:t>
      </w:r>
      <w:r w:rsidRPr="00947CC1">
        <w:rPr>
          <w:rFonts w:ascii="Times New Roman" w:hAnsi="Times New Roman" w:cs="Times New Roman"/>
          <w:sz w:val="24"/>
          <w:szCs w:val="24"/>
        </w:rPr>
        <w:t xml:space="preserve"> </w:t>
      </w:r>
      <w:r w:rsidR="00EE0C2F" w:rsidRPr="00947CC1">
        <w:rPr>
          <w:rFonts w:ascii="Times New Roman" w:hAnsi="Times New Roman" w:cs="Times New Roman"/>
          <w:sz w:val="24"/>
          <w:szCs w:val="24"/>
        </w:rPr>
        <w:t>compreender</w:t>
      </w:r>
      <w:r w:rsidRPr="00947CC1">
        <w:rPr>
          <w:rFonts w:ascii="Times New Roman" w:hAnsi="Times New Roman" w:cs="Times New Roman"/>
          <w:sz w:val="24"/>
          <w:szCs w:val="24"/>
        </w:rPr>
        <w:t xml:space="preserve"> – e tratar – diversos temas correlatos como</w:t>
      </w:r>
      <w:r w:rsidR="002701DD"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o tráfico de pessoas, contrabando de migrantes, grupos vulneráveis, </w:t>
      </w:r>
      <w:r w:rsidR="009B11BC" w:rsidRPr="00947CC1">
        <w:rPr>
          <w:rFonts w:ascii="Times New Roman" w:hAnsi="Times New Roman" w:cs="Times New Roman"/>
          <w:sz w:val="24"/>
          <w:szCs w:val="24"/>
        </w:rPr>
        <w:t xml:space="preserve">questões sanitárias, </w:t>
      </w:r>
      <w:r w:rsidRPr="00947CC1">
        <w:rPr>
          <w:rFonts w:ascii="Times New Roman" w:hAnsi="Times New Roman" w:cs="Times New Roman"/>
          <w:sz w:val="24"/>
          <w:szCs w:val="24"/>
        </w:rPr>
        <w:t>crime organizado e terrorismo</w:t>
      </w:r>
      <w:r w:rsidR="00CA54DC">
        <w:rPr>
          <w:rFonts w:ascii="Times New Roman" w:hAnsi="Times New Roman" w:cs="Times New Roman"/>
          <w:sz w:val="24"/>
          <w:szCs w:val="24"/>
        </w:rPr>
        <w:t>, especialmente no momento abrangido pela questão da pandemia, que tem</w:t>
      </w:r>
      <w:r w:rsidR="006A248A">
        <w:rPr>
          <w:rFonts w:ascii="Times New Roman" w:hAnsi="Times New Roman" w:cs="Times New Roman"/>
          <w:sz w:val="24"/>
          <w:szCs w:val="24"/>
        </w:rPr>
        <w:t xml:space="preserve"> alterados as relações humanas e</w:t>
      </w:r>
      <w:r w:rsidR="00CA54DC">
        <w:rPr>
          <w:rFonts w:ascii="Times New Roman" w:hAnsi="Times New Roman" w:cs="Times New Roman"/>
          <w:sz w:val="24"/>
          <w:szCs w:val="24"/>
        </w:rPr>
        <w:t xml:space="preserve"> potencializado </w:t>
      </w:r>
      <w:r w:rsidR="00DB2CE8">
        <w:rPr>
          <w:rFonts w:ascii="Times New Roman" w:hAnsi="Times New Roman" w:cs="Times New Roman"/>
          <w:sz w:val="24"/>
          <w:szCs w:val="24"/>
        </w:rPr>
        <w:t>vulnerabilidades</w:t>
      </w:r>
      <w:r w:rsidR="00CA54DC">
        <w:rPr>
          <w:rFonts w:ascii="Times New Roman" w:hAnsi="Times New Roman" w:cs="Times New Roman"/>
          <w:sz w:val="24"/>
          <w:szCs w:val="24"/>
        </w:rPr>
        <w:t xml:space="preserve"> (BAENINGER</w:t>
      </w:r>
      <w:r w:rsidR="007563EE">
        <w:rPr>
          <w:rFonts w:ascii="Times New Roman" w:hAnsi="Times New Roman" w:cs="Times New Roman"/>
          <w:sz w:val="24"/>
          <w:szCs w:val="24"/>
        </w:rPr>
        <w:t xml:space="preserve"> et. al.</w:t>
      </w:r>
      <w:r w:rsidR="00CA54DC">
        <w:rPr>
          <w:rFonts w:ascii="Times New Roman" w:hAnsi="Times New Roman" w:cs="Times New Roman"/>
          <w:sz w:val="24"/>
          <w:szCs w:val="24"/>
        </w:rPr>
        <w:t>, 2020)</w:t>
      </w:r>
      <w:r w:rsidRPr="00947CC1">
        <w:rPr>
          <w:rFonts w:ascii="Times New Roman" w:hAnsi="Times New Roman" w:cs="Times New Roman"/>
          <w:sz w:val="24"/>
          <w:szCs w:val="24"/>
        </w:rPr>
        <w:t>.</w:t>
      </w:r>
    </w:p>
    <w:p w14:paraId="080B5D4E" w14:textId="6A123C9E" w:rsidR="00B177CD" w:rsidRPr="00947CC1" w:rsidRDefault="00B177C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Nesse cenário, manter a integridade dos mecanismos de migração e mobilidade exigem a capacidade </w:t>
      </w:r>
      <w:r w:rsidR="00EE0C2F" w:rsidRPr="00947CC1">
        <w:rPr>
          <w:rFonts w:ascii="Times New Roman" w:hAnsi="Times New Roman" w:cs="Times New Roman"/>
          <w:sz w:val="24"/>
          <w:szCs w:val="24"/>
        </w:rPr>
        <w:t xml:space="preserve">estatal </w:t>
      </w:r>
      <w:r w:rsidRPr="00947CC1">
        <w:rPr>
          <w:rFonts w:ascii="Times New Roman" w:hAnsi="Times New Roman" w:cs="Times New Roman"/>
          <w:sz w:val="24"/>
          <w:szCs w:val="24"/>
        </w:rPr>
        <w:t>de</w:t>
      </w:r>
      <w:r w:rsidR="00AB1432"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encontrar um ponto de equilíbrio entre a proteção e a facilitação, </w:t>
      </w:r>
      <w:r w:rsidR="00EE0C2F" w:rsidRPr="00947CC1">
        <w:rPr>
          <w:rFonts w:ascii="Times New Roman" w:hAnsi="Times New Roman" w:cs="Times New Roman"/>
          <w:sz w:val="24"/>
          <w:szCs w:val="24"/>
        </w:rPr>
        <w:t>pelo que</w:t>
      </w:r>
      <w:r w:rsidRPr="00947CC1">
        <w:rPr>
          <w:rFonts w:ascii="Times New Roman" w:hAnsi="Times New Roman" w:cs="Times New Roman"/>
          <w:sz w:val="24"/>
          <w:szCs w:val="24"/>
        </w:rPr>
        <w:t xml:space="preserve"> é preciso detectar e coibir atividades ilegais nas fronteiras ao mesmo tempo em que é necessário garantir uma migração ordenada, segura e digna, sem criar barreiras desnecessárias para as pessoas que pretendem transpor a fronteira.</w:t>
      </w:r>
      <w:r w:rsidR="00AB1432" w:rsidRPr="00947CC1">
        <w:rPr>
          <w:rFonts w:ascii="Times New Roman" w:hAnsi="Times New Roman" w:cs="Times New Roman"/>
          <w:sz w:val="24"/>
          <w:szCs w:val="24"/>
        </w:rPr>
        <w:t xml:space="preserve"> </w:t>
      </w:r>
      <w:r w:rsidR="002701DD" w:rsidRPr="00947CC1">
        <w:rPr>
          <w:rFonts w:ascii="Times New Roman" w:hAnsi="Times New Roman" w:cs="Times New Roman"/>
          <w:sz w:val="24"/>
          <w:szCs w:val="24"/>
        </w:rPr>
        <w:t xml:space="preserve">É </w:t>
      </w:r>
      <w:r w:rsidR="009379D9" w:rsidRPr="00947CC1">
        <w:rPr>
          <w:rFonts w:ascii="Times New Roman" w:hAnsi="Times New Roman" w:cs="Times New Roman"/>
          <w:sz w:val="24"/>
          <w:szCs w:val="24"/>
        </w:rPr>
        <w:t>precisamente</w:t>
      </w:r>
      <w:r w:rsidR="002701DD" w:rsidRPr="00947CC1">
        <w:rPr>
          <w:rFonts w:ascii="Times New Roman" w:hAnsi="Times New Roman" w:cs="Times New Roman"/>
          <w:sz w:val="24"/>
          <w:szCs w:val="24"/>
        </w:rPr>
        <w:t xml:space="preserve"> nes</w:t>
      </w:r>
      <w:r w:rsidR="009379D9" w:rsidRPr="00947CC1">
        <w:rPr>
          <w:rFonts w:ascii="Times New Roman" w:hAnsi="Times New Roman" w:cs="Times New Roman"/>
          <w:sz w:val="24"/>
          <w:szCs w:val="24"/>
        </w:rPr>
        <w:t>t</w:t>
      </w:r>
      <w:r w:rsidR="002701DD" w:rsidRPr="00947CC1">
        <w:rPr>
          <w:rFonts w:ascii="Times New Roman" w:hAnsi="Times New Roman" w:cs="Times New Roman"/>
          <w:sz w:val="24"/>
          <w:szCs w:val="24"/>
        </w:rPr>
        <w:t xml:space="preserve">e </w:t>
      </w:r>
      <w:r w:rsidR="009B11BC" w:rsidRPr="00947CC1">
        <w:rPr>
          <w:rFonts w:ascii="Times New Roman" w:hAnsi="Times New Roman" w:cs="Times New Roman"/>
          <w:sz w:val="24"/>
          <w:szCs w:val="24"/>
        </w:rPr>
        <w:t>ponto</w:t>
      </w:r>
      <w:r w:rsidR="002701DD" w:rsidRPr="00947CC1">
        <w:rPr>
          <w:rFonts w:ascii="Times New Roman" w:hAnsi="Times New Roman" w:cs="Times New Roman"/>
          <w:sz w:val="24"/>
          <w:szCs w:val="24"/>
        </w:rPr>
        <w:t xml:space="preserve"> que a análise de riscos </w:t>
      </w:r>
      <w:r w:rsidR="009379D9" w:rsidRPr="00947CC1">
        <w:rPr>
          <w:rFonts w:ascii="Times New Roman" w:hAnsi="Times New Roman" w:cs="Times New Roman"/>
          <w:sz w:val="24"/>
          <w:szCs w:val="24"/>
        </w:rPr>
        <w:t>pode auxiliar</w:t>
      </w:r>
      <w:r w:rsidR="002701DD" w:rsidRPr="00947CC1">
        <w:rPr>
          <w:rFonts w:ascii="Times New Roman" w:hAnsi="Times New Roman" w:cs="Times New Roman"/>
          <w:sz w:val="24"/>
          <w:szCs w:val="24"/>
        </w:rPr>
        <w:t xml:space="preserve"> a Gestão Coordenada de Fronteiras.</w:t>
      </w:r>
    </w:p>
    <w:p w14:paraId="248F9309" w14:textId="30A3CF89" w:rsidR="00C623A1" w:rsidRPr="00947CC1" w:rsidRDefault="00C623A1"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Na medida em que </w:t>
      </w:r>
      <w:r w:rsidR="00EE0C2F" w:rsidRPr="00947CC1">
        <w:rPr>
          <w:rFonts w:ascii="Times New Roman" w:hAnsi="Times New Roman" w:cs="Times New Roman"/>
          <w:sz w:val="24"/>
          <w:szCs w:val="24"/>
        </w:rPr>
        <w:t>controle</w:t>
      </w:r>
      <w:r w:rsidR="009B11BC" w:rsidRPr="00947CC1">
        <w:rPr>
          <w:rFonts w:ascii="Times New Roman" w:hAnsi="Times New Roman" w:cs="Times New Roman"/>
          <w:sz w:val="24"/>
          <w:szCs w:val="24"/>
        </w:rPr>
        <w:t xml:space="preserve"> e mobilidade </w:t>
      </w:r>
      <w:r w:rsidRPr="00947CC1">
        <w:rPr>
          <w:rFonts w:ascii="Times New Roman" w:hAnsi="Times New Roman" w:cs="Times New Roman"/>
          <w:sz w:val="24"/>
          <w:szCs w:val="24"/>
        </w:rPr>
        <w:t>influenciam</w:t>
      </w:r>
      <w:r w:rsidR="00A75AF4" w:rsidRPr="00947CC1">
        <w:rPr>
          <w:rFonts w:ascii="Times New Roman" w:hAnsi="Times New Roman" w:cs="Times New Roman"/>
          <w:sz w:val="24"/>
          <w:szCs w:val="24"/>
        </w:rPr>
        <w:t>-se</w:t>
      </w:r>
      <w:r w:rsidRPr="00947CC1">
        <w:rPr>
          <w:rFonts w:ascii="Times New Roman" w:hAnsi="Times New Roman" w:cs="Times New Roman"/>
          <w:sz w:val="24"/>
          <w:szCs w:val="24"/>
        </w:rPr>
        <w:t xml:space="preserve"> </w:t>
      </w:r>
      <w:r w:rsidR="00291E67" w:rsidRPr="00947CC1">
        <w:rPr>
          <w:rFonts w:ascii="Times New Roman" w:hAnsi="Times New Roman" w:cs="Times New Roman"/>
          <w:sz w:val="24"/>
          <w:szCs w:val="24"/>
        </w:rPr>
        <w:t>mutuamente</w:t>
      </w:r>
      <w:r w:rsidRPr="00947CC1">
        <w:rPr>
          <w:rFonts w:ascii="Times New Roman" w:hAnsi="Times New Roman" w:cs="Times New Roman"/>
          <w:sz w:val="24"/>
          <w:szCs w:val="24"/>
        </w:rPr>
        <w:t xml:space="preserve">, gerando oportunidades e riscos como reflexo, </w:t>
      </w:r>
      <w:r w:rsidR="00E06D0D" w:rsidRPr="00947CC1">
        <w:rPr>
          <w:rFonts w:ascii="Times New Roman" w:hAnsi="Times New Roman" w:cs="Times New Roman"/>
          <w:sz w:val="24"/>
          <w:szCs w:val="24"/>
        </w:rPr>
        <w:t xml:space="preserve">os atos </w:t>
      </w:r>
      <w:r w:rsidRPr="00947CC1">
        <w:rPr>
          <w:rFonts w:ascii="Times New Roman" w:hAnsi="Times New Roman" w:cs="Times New Roman"/>
          <w:sz w:val="24"/>
          <w:szCs w:val="24"/>
        </w:rPr>
        <w:t xml:space="preserve">de governo </w:t>
      </w:r>
      <w:r w:rsidR="00E06D0D" w:rsidRPr="00947CC1">
        <w:rPr>
          <w:rFonts w:ascii="Times New Roman" w:hAnsi="Times New Roman" w:cs="Times New Roman"/>
          <w:sz w:val="24"/>
          <w:szCs w:val="24"/>
        </w:rPr>
        <w:t>relacionados a</w:t>
      </w:r>
      <w:r w:rsidRPr="00947CC1">
        <w:rPr>
          <w:rFonts w:ascii="Times New Roman" w:hAnsi="Times New Roman" w:cs="Times New Roman"/>
          <w:sz w:val="24"/>
          <w:szCs w:val="24"/>
        </w:rPr>
        <w:t xml:space="preserve"> migração precisam ser </w:t>
      </w:r>
      <w:r w:rsidR="00E06D0D" w:rsidRPr="00947CC1">
        <w:rPr>
          <w:rFonts w:ascii="Times New Roman" w:hAnsi="Times New Roman" w:cs="Times New Roman"/>
          <w:sz w:val="24"/>
          <w:szCs w:val="24"/>
        </w:rPr>
        <w:t>disciplinados,</w:t>
      </w:r>
      <w:r w:rsidRPr="00947CC1">
        <w:rPr>
          <w:rFonts w:ascii="Times New Roman" w:hAnsi="Times New Roman" w:cs="Times New Roman"/>
          <w:sz w:val="24"/>
          <w:szCs w:val="24"/>
        </w:rPr>
        <w:t xml:space="preserve"> e procedimentos para o fluxo migratório estabelecidos com base em análises, pesquisas e estudos. Para que isso ocorra, é indispensável que os atores envolvidos diretamente nessas tarefas estabeleçam procedimentos para coletar, analisar e usar informações, a fim de lidar não somente com o terrorismo, tráfico de pessoas, </w:t>
      </w:r>
      <w:r w:rsidR="009B11BC" w:rsidRPr="00947CC1">
        <w:rPr>
          <w:rFonts w:ascii="Times New Roman" w:hAnsi="Times New Roman" w:cs="Times New Roman"/>
          <w:sz w:val="24"/>
          <w:szCs w:val="24"/>
        </w:rPr>
        <w:t xml:space="preserve">pandemias, </w:t>
      </w:r>
      <w:r w:rsidRPr="00947CC1">
        <w:rPr>
          <w:rFonts w:ascii="Times New Roman" w:hAnsi="Times New Roman" w:cs="Times New Roman"/>
          <w:sz w:val="24"/>
          <w:szCs w:val="24"/>
        </w:rPr>
        <w:t xml:space="preserve">contrabando de migrantes e outras atividades criminosas </w:t>
      </w:r>
      <w:proofErr w:type="spellStart"/>
      <w:r w:rsidRPr="00947CC1">
        <w:rPr>
          <w:rFonts w:ascii="Times New Roman" w:hAnsi="Times New Roman" w:cs="Times New Roman"/>
          <w:sz w:val="24"/>
          <w:szCs w:val="24"/>
        </w:rPr>
        <w:t>transfronteiriças</w:t>
      </w:r>
      <w:proofErr w:type="spellEnd"/>
      <w:r w:rsidRPr="00947CC1">
        <w:rPr>
          <w:rFonts w:ascii="Times New Roman" w:hAnsi="Times New Roman" w:cs="Times New Roman"/>
          <w:sz w:val="24"/>
          <w:szCs w:val="24"/>
        </w:rPr>
        <w:t xml:space="preserve">, mas igualmente no sentido de oferecer proteção e assistência ao migrante. </w:t>
      </w:r>
    </w:p>
    <w:p w14:paraId="0E4146C5" w14:textId="624BA49D" w:rsidR="00771897" w:rsidRPr="00947CC1" w:rsidRDefault="00AB1432"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Esse ponto de equilíbrio pode ser obtido </w:t>
      </w:r>
      <w:r w:rsidR="00D94E43" w:rsidRPr="00947CC1">
        <w:rPr>
          <w:rFonts w:ascii="Times New Roman" w:hAnsi="Times New Roman" w:cs="Times New Roman"/>
          <w:sz w:val="24"/>
          <w:szCs w:val="24"/>
        </w:rPr>
        <w:t>considerando o tipo de</w:t>
      </w:r>
      <w:r w:rsidRPr="00947CC1">
        <w:rPr>
          <w:rFonts w:ascii="Times New Roman" w:hAnsi="Times New Roman" w:cs="Times New Roman"/>
          <w:sz w:val="24"/>
          <w:szCs w:val="24"/>
        </w:rPr>
        <w:t xml:space="preserve"> </w:t>
      </w:r>
      <w:r w:rsidR="00914B96" w:rsidRPr="00947CC1">
        <w:rPr>
          <w:rFonts w:ascii="Times New Roman" w:hAnsi="Times New Roman" w:cs="Times New Roman"/>
          <w:sz w:val="24"/>
          <w:szCs w:val="24"/>
        </w:rPr>
        <w:t xml:space="preserve">abordagem de controle </w:t>
      </w:r>
      <w:r w:rsidR="00D94E43" w:rsidRPr="00947CC1">
        <w:rPr>
          <w:rFonts w:ascii="Times New Roman" w:hAnsi="Times New Roman" w:cs="Times New Roman"/>
          <w:sz w:val="24"/>
          <w:szCs w:val="24"/>
        </w:rPr>
        <w:t xml:space="preserve">que se pretende adotar </w:t>
      </w:r>
      <w:r w:rsidR="002701DD" w:rsidRPr="00947CC1">
        <w:rPr>
          <w:rFonts w:ascii="Times New Roman" w:hAnsi="Times New Roman" w:cs="Times New Roman"/>
          <w:sz w:val="24"/>
          <w:szCs w:val="24"/>
        </w:rPr>
        <w:t>em conjunto com a</w:t>
      </w:r>
      <w:r w:rsidR="00D94E43" w:rsidRPr="00947CC1">
        <w:rPr>
          <w:rFonts w:ascii="Times New Roman" w:hAnsi="Times New Roman" w:cs="Times New Roman"/>
          <w:sz w:val="24"/>
          <w:szCs w:val="24"/>
        </w:rPr>
        <w:t xml:space="preserve"> </w:t>
      </w:r>
      <w:r w:rsidRPr="00947CC1">
        <w:rPr>
          <w:rFonts w:ascii="Times New Roman" w:hAnsi="Times New Roman" w:cs="Times New Roman"/>
          <w:sz w:val="24"/>
          <w:szCs w:val="24"/>
        </w:rPr>
        <w:t>ferramenta de análise de riscos</w:t>
      </w:r>
      <w:r w:rsidR="00E06D0D" w:rsidRPr="00947CC1">
        <w:rPr>
          <w:rFonts w:ascii="Times New Roman" w:hAnsi="Times New Roman" w:cs="Times New Roman"/>
          <w:sz w:val="24"/>
          <w:szCs w:val="24"/>
        </w:rPr>
        <w:t xml:space="preserve">: </w:t>
      </w:r>
      <w:r w:rsidR="00D94E43" w:rsidRPr="00947CC1">
        <w:rPr>
          <w:rFonts w:ascii="Times New Roman" w:hAnsi="Times New Roman" w:cs="Times New Roman"/>
          <w:sz w:val="24"/>
          <w:szCs w:val="24"/>
        </w:rPr>
        <w:t xml:space="preserve"> instrumento</w:t>
      </w:r>
      <w:r w:rsidR="00E06D0D" w:rsidRPr="00947CC1">
        <w:rPr>
          <w:rFonts w:ascii="Times New Roman" w:hAnsi="Times New Roman" w:cs="Times New Roman"/>
          <w:sz w:val="24"/>
          <w:szCs w:val="24"/>
        </w:rPr>
        <w:t xml:space="preserve"> que</w:t>
      </w:r>
      <w:r w:rsidR="00D94E43" w:rsidRPr="00947CC1">
        <w:rPr>
          <w:rFonts w:ascii="Times New Roman" w:hAnsi="Times New Roman" w:cs="Times New Roman"/>
          <w:sz w:val="24"/>
          <w:szCs w:val="24"/>
        </w:rPr>
        <w:t xml:space="preserve"> </w:t>
      </w:r>
      <w:r w:rsidRPr="00947CC1">
        <w:rPr>
          <w:rFonts w:ascii="Times New Roman" w:hAnsi="Times New Roman" w:cs="Times New Roman"/>
          <w:sz w:val="24"/>
          <w:szCs w:val="24"/>
        </w:rPr>
        <w:t>auxilia</w:t>
      </w:r>
      <w:r w:rsidR="00D94E43" w:rsidRPr="00947CC1">
        <w:rPr>
          <w:rFonts w:ascii="Times New Roman" w:hAnsi="Times New Roman" w:cs="Times New Roman"/>
          <w:sz w:val="24"/>
          <w:szCs w:val="24"/>
        </w:rPr>
        <w:t xml:space="preserve"> </w:t>
      </w:r>
      <w:r w:rsidRPr="00947CC1">
        <w:rPr>
          <w:rFonts w:ascii="Times New Roman" w:hAnsi="Times New Roman" w:cs="Times New Roman"/>
          <w:sz w:val="24"/>
          <w:szCs w:val="24"/>
        </w:rPr>
        <w:t>o planejamento das ações governamentais</w:t>
      </w:r>
      <w:r w:rsidR="00D94E43" w:rsidRPr="00947CC1">
        <w:rPr>
          <w:rFonts w:ascii="Times New Roman" w:hAnsi="Times New Roman" w:cs="Times New Roman"/>
          <w:sz w:val="24"/>
          <w:szCs w:val="24"/>
        </w:rPr>
        <w:t xml:space="preserve"> tanto </w:t>
      </w:r>
      <w:r w:rsidRPr="00947CC1">
        <w:rPr>
          <w:rFonts w:ascii="Times New Roman" w:hAnsi="Times New Roman" w:cs="Times New Roman"/>
          <w:sz w:val="24"/>
          <w:szCs w:val="24"/>
        </w:rPr>
        <w:t>em nível estratégico</w:t>
      </w:r>
      <w:r w:rsidR="00D94E43" w:rsidRPr="00947CC1">
        <w:rPr>
          <w:rFonts w:ascii="Times New Roman" w:hAnsi="Times New Roman" w:cs="Times New Roman"/>
          <w:sz w:val="24"/>
          <w:szCs w:val="24"/>
        </w:rPr>
        <w:t xml:space="preserve"> como em</w:t>
      </w:r>
      <w:r w:rsidRPr="00947CC1">
        <w:rPr>
          <w:rFonts w:ascii="Times New Roman" w:hAnsi="Times New Roman" w:cs="Times New Roman"/>
          <w:sz w:val="24"/>
          <w:szCs w:val="24"/>
        </w:rPr>
        <w:t xml:space="preserve"> nível tático. Com </w:t>
      </w:r>
      <w:r w:rsidR="00D94E43" w:rsidRPr="00947CC1">
        <w:rPr>
          <w:rFonts w:ascii="Times New Roman" w:hAnsi="Times New Roman" w:cs="Times New Roman"/>
          <w:sz w:val="24"/>
          <w:szCs w:val="24"/>
        </w:rPr>
        <w:t>efeito</w:t>
      </w:r>
      <w:r w:rsidRPr="00947CC1">
        <w:rPr>
          <w:rFonts w:ascii="Times New Roman" w:hAnsi="Times New Roman" w:cs="Times New Roman"/>
          <w:sz w:val="24"/>
          <w:szCs w:val="24"/>
        </w:rPr>
        <w:t xml:space="preserve">, amplia-se a capacidade de </w:t>
      </w:r>
      <w:r w:rsidR="00291E67" w:rsidRPr="00947CC1">
        <w:rPr>
          <w:rFonts w:ascii="Times New Roman" w:hAnsi="Times New Roman" w:cs="Times New Roman"/>
          <w:sz w:val="24"/>
          <w:szCs w:val="24"/>
        </w:rPr>
        <w:t xml:space="preserve">se </w:t>
      </w:r>
      <w:r w:rsidRPr="00947CC1">
        <w:rPr>
          <w:rFonts w:ascii="Times New Roman" w:hAnsi="Times New Roman" w:cs="Times New Roman"/>
          <w:sz w:val="24"/>
          <w:szCs w:val="24"/>
        </w:rPr>
        <w:t>compreender e priorizar requisitos aparentemente concorrentes como</w:t>
      </w:r>
      <w:r w:rsidR="00D94E43" w:rsidRPr="00947CC1">
        <w:rPr>
          <w:rFonts w:ascii="Times New Roman" w:hAnsi="Times New Roman" w:cs="Times New Roman"/>
          <w:sz w:val="24"/>
          <w:szCs w:val="24"/>
        </w:rPr>
        <w:t xml:space="preserve"> </w:t>
      </w:r>
      <w:r w:rsidRPr="00947CC1">
        <w:rPr>
          <w:rFonts w:ascii="Times New Roman" w:hAnsi="Times New Roman" w:cs="Times New Roman"/>
          <w:sz w:val="24"/>
          <w:szCs w:val="24"/>
        </w:rPr>
        <w:t xml:space="preserve">a segurança e a mobilidade de pessoas. </w:t>
      </w:r>
    </w:p>
    <w:p w14:paraId="7F512D46" w14:textId="45FE4E04" w:rsidR="001C7BDE" w:rsidRPr="00947CC1" w:rsidRDefault="00AB1432"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Ademais, a ferramenta pode assessorar a tomada de decisão acerca das oportunidades trazidas pelos migrantes, e promover o crescimento econômico e o desenvolvimento social ao aproveitar as suas habilidades, dinamismo e inovação</w:t>
      </w:r>
      <w:r w:rsidR="008111D2" w:rsidRPr="00947CC1">
        <w:rPr>
          <w:rFonts w:ascii="Times New Roman" w:hAnsi="Times New Roman" w:cs="Times New Roman"/>
          <w:sz w:val="24"/>
          <w:szCs w:val="24"/>
        </w:rPr>
        <w:t>. I</w:t>
      </w:r>
      <w:r w:rsidR="00291E67" w:rsidRPr="00947CC1">
        <w:rPr>
          <w:rFonts w:ascii="Times New Roman" w:hAnsi="Times New Roman" w:cs="Times New Roman"/>
          <w:sz w:val="24"/>
          <w:szCs w:val="24"/>
        </w:rPr>
        <w:t>mpulsionar</w:t>
      </w:r>
      <w:r w:rsidR="001C7BDE" w:rsidRPr="00947CC1">
        <w:rPr>
          <w:rFonts w:ascii="Times New Roman" w:hAnsi="Times New Roman" w:cs="Times New Roman"/>
          <w:sz w:val="24"/>
          <w:szCs w:val="24"/>
        </w:rPr>
        <w:t xml:space="preserve"> o desenvolvimento social e a proteção de seus cidadãos </w:t>
      </w:r>
      <w:r w:rsidR="008111D2" w:rsidRPr="00947CC1">
        <w:rPr>
          <w:rFonts w:ascii="Times New Roman" w:hAnsi="Times New Roman" w:cs="Times New Roman"/>
          <w:sz w:val="24"/>
          <w:szCs w:val="24"/>
        </w:rPr>
        <w:t>permitem</w:t>
      </w:r>
      <w:r w:rsidR="001C7BDE" w:rsidRPr="00947CC1">
        <w:rPr>
          <w:rFonts w:ascii="Times New Roman" w:hAnsi="Times New Roman" w:cs="Times New Roman"/>
          <w:sz w:val="24"/>
          <w:szCs w:val="24"/>
        </w:rPr>
        <w:t xml:space="preserve"> compreender a migração tanto sob o ponto de vista do migrante, quanto </w:t>
      </w:r>
      <w:r w:rsidR="00A75AF4" w:rsidRPr="00947CC1">
        <w:rPr>
          <w:rFonts w:ascii="Times New Roman" w:hAnsi="Times New Roman" w:cs="Times New Roman"/>
          <w:sz w:val="24"/>
          <w:szCs w:val="24"/>
        </w:rPr>
        <w:t>d</w:t>
      </w:r>
      <w:r w:rsidR="001C7BDE" w:rsidRPr="00947CC1">
        <w:rPr>
          <w:rFonts w:ascii="Times New Roman" w:hAnsi="Times New Roman" w:cs="Times New Roman"/>
          <w:sz w:val="24"/>
          <w:szCs w:val="24"/>
        </w:rPr>
        <w:t xml:space="preserve">o Estado, como se </w:t>
      </w:r>
      <w:r w:rsidR="00771897" w:rsidRPr="00947CC1">
        <w:rPr>
          <w:rFonts w:ascii="Times New Roman" w:hAnsi="Times New Roman" w:cs="Times New Roman"/>
          <w:sz w:val="24"/>
          <w:szCs w:val="24"/>
        </w:rPr>
        <w:t>supostamente</w:t>
      </w:r>
      <w:r w:rsidR="001C7BDE" w:rsidRPr="00947CC1">
        <w:rPr>
          <w:rFonts w:ascii="Times New Roman" w:hAnsi="Times New Roman" w:cs="Times New Roman"/>
          <w:sz w:val="24"/>
          <w:szCs w:val="24"/>
        </w:rPr>
        <w:t xml:space="preserve"> fossem objetivos </w:t>
      </w:r>
      <w:r w:rsidR="002701DD" w:rsidRPr="00947CC1">
        <w:rPr>
          <w:rFonts w:ascii="Times New Roman" w:hAnsi="Times New Roman" w:cs="Times New Roman"/>
          <w:sz w:val="24"/>
          <w:szCs w:val="24"/>
        </w:rPr>
        <w:t>excludentes</w:t>
      </w:r>
      <w:r w:rsidR="001C7BDE" w:rsidRPr="00947CC1">
        <w:rPr>
          <w:rFonts w:ascii="Times New Roman" w:hAnsi="Times New Roman" w:cs="Times New Roman"/>
          <w:sz w:val="24"/>
          <w:szCs w:val="24"/>
        </w:rPr>
        <w:t xml:space="preserve">. </w:t>
      </w:r>
      <w:r w:rsidR="00A75AF4" w:rsidRPr="00947CC1">
        <w:rPr>
          <w:rFonts w:ascii="Times New Roman" w:hAnsi="Times New Roman" w:cs="Times New Roman"/>
          <w:sz w:val="24"/>
          <w:szCs w:val="24"/>
        </w:rPr>
        <w:t>Isto é, o</w:t>
      </w:r>
      <w:r w:rsidR="001C7BDE" w:rsidRPr="00947CC1">
        <w:rPr>
          <w:rFonts w:ascii="Times New Roman" w:hAnsi="Times New Roman" w:cs="Times New Roman"/>
          <w:sz w:val="24"/>
          <w:szCs w:val="24"/>
        </w:rPr>
        <w:t xml:space="preserve">s governos enfrentam o dilema </w:t>
      </w:r>
      <w:r w:rsidR="00AB3BBB" w:rsidRPr="00947CC1">
        <w:rPr>
          <w:rFonts w:ascii="Times New Roman" w:hAnsi="Times New Roman" w:cs="Times New Roman"/>
          <w:sz w:val="24"/>
          <w:szCs w:val="24"/>
        </w:rPr>
        <w:t>de</w:t>
      </w:r>
      <w:r w:rsidR="001C7BDE" w:rsidRPr="00947CC1">
        <w:rPr>
          <w:rFonts w:ascii="Times New Roman" w:hAnsi="Times New Roman" w:cs="Times New Roman"/>
          <w:sz w:val="24"/>
          <w:szCs w:val="24"/>
        </w:rPr>
        <w:t xml:space="preserve"> adotar políticas que, à primeira vista, parecem contraditórias: por um lado, eles devem encontrar a melhor maneira de facilitar os movimentos legítimos de pessoas e, por outro, manter a segurança de suas fronteiras.</w:t>
      </w:r>
    </w:p>
    <w:p w14:paraId="0133F318" w14:textId="7708D2F3" w:rsidR="00771897" w:rsidRPr="00947CC1" w:rsidRDefault="00771897"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lastRenderedPageBreak/>
        <w:t xml:space="preserve">É presumível a impossibilidade de se realizar um controle exaustivo das fronteiras sem afetar negativamente a circulação de pessoas e o comércio e, consequentemente, o desenvolvimento do país. </w:t>
      </w:r>
      <w:r w:rsidR="00AB3BBB" w:rsidRPr="00947CC1">
        <w:rPr>
          <w:rFonts w:ascii="Times New Roman" w:hAnsi="Times New Roman" w:cs="Times New Roman"/>
          <w:sz w:val="24"/>
          <w:szCs w:val="24"/>
        </w:rPr>
        <w:t>Sob outra perspectiva</w:t>
      </w:r>
      <w:r w:rsidRPr="00947CC1">
        <w:rPr>
          <w:rFonts w:ascii="Times New Roman" w:hAnsi="Times New Roman" w:cs="Times New Roman"/>
          <w:sz w:val="24"/>
          <w:szCs w:val="24"/>
        </w:rPr>
        <w:t xml:space="preserve">, a falta de procedimentos de </w:t>
      </w:r>
      <w:r w:rsidR="00147E9D" w:rsidRPr="00947CC1">
        <w:rPr>
          <w:rFonts w:ascii="Times New Roman" w:hAnsi="Times New Roman" w:cs="Times New Roman"/>
          <w:sz w:val="24"/>
          <w:szCs w:val="24"/>
        </w:rPr>
        <w:t>proteção</w:t>
      </w:r>
      <w:r w:rsidRPr="00947CC1">
        <w:rPr>
          <w:rFonts w:ascii="Times New Roman" w:hAnsi="Times New Roman" w:cs="Times New Roman"/>
          <w:sz w:val="24"/>
          <w:szCs w:val="24"/>
        </w:rPr>
        <w:t xml:space="preserve"> afeta os recursos públicos e a segurança dos cidadãos. </w:t>
      </w:r>
      <w:r w:rsidR="00F356DD">
        <w:rPr>
          <w:rFonts w:ascii="Times New Roman" w:hAnsi="Times New Roman" w:cs="Times New Roman"/>
          <w:sz w:val="24"/>
          <w:szCs w:val="24"/>
        </w:rPr>
        <w:t>Sem embargo</w:t>
      </w:r>
      <w:r w:rsidRPr="00947CC1">
        <w:rPr>
          <w:rFonts w:ascii="Times New Roman" w:hAnsi="Times New Roman" w:cs="Times New Roman"/>
          <w:sz w:val="24"/>
          <w:szCs w:val="24"/>
        </w:rPr>
        <w:t xml:space="preserve">, quanto mais refinada a </w:t>
      </w:r>
      <w:r w:rsidR="00E96A21">
        <w:rPr>
          <w:rFonts w:ascii="Times New Roman" w:hAnsi="Times New Roman" w:cs="Times New Roman"/>
          <w:sz w:val="24"/>
          <w:szCs w:val="24"/>
        </w:rPr>
        <w:t>AR</w:t>
      </w:r>
      <w:r w:rsidRPr="00947CC1">
        <w:rPr>
          <w:rFonts w:ascii="Times New Roman" w:hAnsi="Times New Roman" w:cs="Times New Roman"/>
          <w:sz w:val="24"/>
          <w:szCs w:val="24"/>
        </w:rPr>
        <w:t>, melhor será o cumprimento das funções públicas</w:t>
      </w:r>
      <w:r w:rsidR="00147E9D" w:rsidRPr="00947CC1">
        <w:rPr>
          <w:rFonts w:ascii="Times New Roman" w:hAnsi="Times New Roman" w:cs="Times New Roman"/>
          <w:sz w:val="24"/>
          <w:szCs w:val="24"/>
        </w:rPr>
        <w:t xml:space="preserve"> ao se estabelecer procedimentos de triagem em função da detecção de riscos.</w:t>
      </w:r>
    </w:p>
    <w:p w14:paraId="5EE20CBA" w14:textId="79B6B1E3" w:rsidR="00EB6F02" w:rsidRPr="00947CC1" w:rsidRDefault="00291E67"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Por exemplo, </w:t>
      </w:r>
      <w:r w:rsidR="00923677" w:rsidRPr="00947CC1">
        <w:rPr>
          <w:rFonts w:ascii="Times New Roman" w:hAnsi="Times New Roman" w:cs="Times New Roman"/>
          <w:sz w:val="24"/>
          <w:szCs w:val="24"/>
        </w:rPr>
        <w:t xml:space="preserve">amparar grupos vulneráveis suscetíveis a riscos e violência ao </w:t>
      </w:r>
      <w:r w:rsidR="002701DD" w:rsidRPr="00947CC1">
        <w:rPr>
          <w:rFonts w:ascii="Times New Roman" w:hAnsi="Times New Roman" w:cs="Times New Roman"/>
          <w:sz w:val="24"/>
          <w:szCs w:val="24"/>
        </w:rPr>
        <w:t>prevenir ou mitigar</w:t>
      </w:r>
      <w:r w:rsidR="00EB6F02" w:rsidRPr="00947CC1">
        <w:rPr>
          <w:rFonts w:ascii="Times New Roman" w:hAnsi="Times New Roman" w:cs="Times New Roman"/>
          <w:sz w:val="24"/>
          <w:szCs w:val="24"/>
        </w:rPr>
        <w:t xml:space="preserve"> </w:t>
      </w:r>
      <w:r w:rsidR="002701DD" w:rsidRPr="00947CC1">
        <w:rPr>
          <w:rFonts w:ascii="Times New Roman" w:hAnsi="Times New Roman" w:cs="Times New Roman"/>
          <w:sz w:val="24"/>
          <w:szCs w:val="24"/>
        </w:rPr>
        <w:t>os riscos</w:t>
      </w:r>
      <w:r w:rsidR="00EB6F02" w:rsidRPr="00947CC1">
        <w:rPr>
          <w:rFonts w:ascii="Times New Roman" w:hAnsi="Times New Roman" w:cs="Times New Roman"/>
          <w:sz w:val="24"/>
          <w:szCs w:val="24"/>
        </w:rPr>
        <w:t xml:space="preserve"> </w:t>
      </w:r>
      <w:r w:rsidR="00923677" w:rsidRPr="00947CC1">
        <w:rPr>
          <w:rFonts w:ascii="Times New Roman" w:hAnsi="Times New Roman" w:cs="Times New Roman"/>
          <w:sz w:val="24"/>
          <w:szCs w:val="24"/>
        </w:rPr>
        <w:t>a eles associados</w:t>
      </w:r>
      <w:r w:rsidRPr="00947CC1">
        <w:rPr>
          <w:rFonts w:ascii="Times New Roman" w:hAnsi="Times New Roman" w:cs="Times New Roman"/>
          <w:sz w:val="24"/>
          <w:szCs w:val="24"/>
        </w:rPr>
        <w:t xml:space="preserve"> </w:t>
      </w:r>
      <w:r w:rsidR="00EB6F02" w:rsidRPr="00947CC1">
        <w:rPr>
          <w:rFonts w:ascii="Times New Roman" w:hAnsi="Times New Roman" w:cs="Times New Roman"/>
          <w:sz w:val="24"/>
          <w:szCs w:val="24"/>
        </w:rPr>
        <w:t xml:space="preserve">evita a ocorrência ou agravamento de violações dos direitos humanos e, também, </w:t>
      </w:r>
      <w:r w:rsidRPr="00947CC1">
        <w:rPr>
          <w:rFonts w:ascii="Times New Roman" w:hAnsi="Times New Roman" w:cs="Times New Roman"/>
          <w:sz w:val="24"/>
          <w:szCs w:val="24"/>
        </w:rPr>
        <w:t>diminui</w:t>
      </w:r>
      <w:r w:rsidR="00EB6F02" w:rsidRPr="00947CC1">
        <w:rPr>
          <w:rFonts w:ascii="Times New Roman" w:hAnsi="Times New Roman" w:cs="Times New Roman"/>
          <w:sz w:val="24"/>
          <w:szCs w:val="24"/>
        </w:rPr>
        <w:t xml:space="preserve"> a insegurança nas fronteiras</w:t>
      </w:r>
      <w:r w:rsidR="00923677" w:rsidRPr="00947CC1">
        <w:rPr>
          <w:rFonts w:ascii="Times New Roman" w:hAnsi="Times New Roman" w:cs="Times New Roman"/>
          <w:sz w:val="24"/>
          <w:szCs w:val="24"/>
        </w:rPr>
        <w:t>. Isto é,</w:t>
      </w:r>
      <w:r w:rsidRPr="00947CC1">
        <w:rPr>
          <w:rFonts w:ascii="Times New Roman" w:hAnsi="Times New Roman" w:cs="Times New Roman"/>
          <w:sz w:val="24"/>
          <w:szCs w:val="24"/>
        </w:rPr>
        <w:t xml:space="preserve"> s</w:t>
      </w:r>
      <w:r w:rsidR="00EB6F02" w:rsidRPr="00947CC1">
        <w:rPr>
          <w:rFonts w:ascii="Times New Roman" w:hAnsi="Times New Roman" w:cs="Times New Roman"/>
          <w:sz w:val="24"/>
          <w:szCs w:val="24"/>
        </w:rPr>
        <w:t xml:space="preserve">ituações de vulnerabilidade podem aumentar </w:t>
      </w:r>
      <w:r w:rsidR="002701DD" w:rsidRPr="00947CC1">
        <w:rPr>
          <w:rFonts w:ascii="Times New Roman" w:hAnsi="Times New Roman" w:cs="Times New Roman"/>
          <w:sz w:val="24"/>
          <w:szCs w:val="24"/>
        </w:rPr>
        <w:t>a probabilidade</w:t>
      </w:r>
      <w:r w:rsidR="00EB6F02" w:rsidRPr="00947CC1">
        <w:rPr>
          <w:rFonts w:ascii="Times New Roman" w:hAnsi="Times New Roman" w:cs="Times New Roman"/>
          <w:sz w:val="24"/>
          <w:szCs w:val="24"/>
        </w:rPr>
        <w:t xml:space="preserve"> de vitimização de migrantes por redes criminosas </w:t>
      </w:r>
      <w:proofErr w:type="spellStart"/>
      <w:r w:rsidR="00EB6F02" w:rsidRPr="00947CC1">
        <w:rPr>
          <w:rFonts w:ascii="Times New Roman" w:hAnsi="Times New Roman" w:cs="Times New Roman"/>
          <w:sz w:val="24"/>
          <w:szCs w:val="24"/>
        </w:rPr>
        <w:t>transfronteiriças</w:t>
      </w:r>
      <w:proofErr w:type="spellEnd"/>
      <w:r w:rsidR="00EB6F02" w:rsidRPr="00947CC1">
        <w:rPr>
          <w:rFonts w:ascii="Times New Roman" w:hAnsi="Times New Roman" w:cs="Times New Roman"/>
          <w:sz w:val="24"/>
          <w:szCs w:val="24"/>
        </w:rPr>
        <w:t>, com</w:t>
      </w:r>
      <w:r w:rsidR="00A75AF4" w:rsidRPr="00947CC1">
        <w:rPr>
          <w:rFonts w:ascii="Times New Roman" w:hAnsi="Times New Roman" w:cs="Times New Roman"/>
          <w:sz w:val="24"/>
          <w:szCs w:val="24"/>
        </w:rPr>
        <w:t>o</w:t>
      </w:r>
      <w:r w:rsidR="00EB6F02" w:rsidRPr="00947CC1">
        <w:rPr>
          <w:rFonts w:ascii="Times New Roman" w:hAnsi="Times New Roman" w:cs="Times New Roman"/>
          <w:sz w:val="24"/>
          <w:szCs w:val="24"/>
        </w:rPr>
        <w:t xml:space="preserve"> redes de tráfico de pessoas e contrabando de migrantes</w:t>
      </w:r>
      <w:r w:rsidR="00923677" w:rsidRPr="00947CC1">
        <w:rPr>
          <w:rFonts w:ascii="Times New Roman" w:hAnsi="Times New Roman" w:cs="Times New Roman"/>
          <w:sz w:val="24"/>
          <w:szCs w:val="24"/>
        </w:rPr>
        <w:t>, pelo que se faz necessário um tratamento com dedicada atenção a esta categoria de migrantes.</w:t>
      </w:r>
    </w:p>
    <w:p w14:paraId="7D568ED3" w14:textId="4F91367C" w:rsidR="0015142A" w:rsidRPr="00947CC1" w:rsidRDefault="0085588B"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Destarte</w:t>
      </w:r>
      <w:r w:rsidR="0015142A" w:rsidRPr="00947CC1">
        <w:rPr>
          <w:rFonts w:ascii="Times New Roman" w:hAnsi="Times New Roman" w:cs="Times New Roman"/>
          <w:sz w:val="24"/>
          <w:szCs w:val="24"/>
        </w:rPr>
        <w:t xml:space="preserve">, </w:t>
      </w:r>
      <w:r w:rsidR="002701DD" w:rsidRPr="00947CC1">
        <w:rPr>
          <w:rFonts w:ascii="Times New Roman" w:hAnsi="Times New Roman" w:cs="Times New Roman"/>
          <w:sz w:val="24"/>
          <w:szCs w:val="24"/>
        </w:rPr>
        <w:t>convém</w:t>
      </w:r>
      <w:r w:rsidR="0015142A" w:rsidRPr="00947CC1">
        <w:rPr>
          <w:rFonts w:ascii="Times New Roman" w:hAnsi="Times New Roman" w:cs="Times New Roman"/>
          <w:sz w:val="24"/>
          <w:szCs w:val="24"/>
        </w:rPr>
        <w:t xml:space="preserve"> sistematizar o uso de dados e informações na produção do conhecimento com objetivo de se avaliar os </w:t>
      </w:r>
      <w:r w:rsidR="00147E9D" w:rsidRPr="00947CC1">
        <w:rPr>
          <w:rFonts w:ascii="Times New Roman" w:hAnsi="Times New Roman" w:cs="Times New Roman"/>
          <w:sz w:val="24"/>
          <w:szCs w:val="24"/>
        </w:rPr>
        <w:t>eventos indesejados</w:t>
      </w:r>
      <w:r w:rsidR="0015142A" w:rsidRPr="00947CC1">
        <w:rPr>
          <w:rFonts w:ascii="Times New Roman" w:hAnsi="Times New Roman" w:cs="Times New Roman"/>
          <w:sz w:val="24"/>
          <w:szCs w:val="24"/>
        </w:rPr>
        <w:t xml:space="preserve">, na medida em que esse processo possibilita identificar e entender os possíveis reflexos das tendências migratórias, salvaguardar os direitos dos migrantes e prevenir os </w:t>
      </w:r>
      <w:r w:rsidR="00147E9D" w:rsidRPr="00947CC1">
        <w:rPr>
          <w:rFonts w:ascii="Times New Roman" w:hAnsi="Times New Roman" w:cs="Times New Roman"/>
          <w:sz w:val="24"/>
          <w:szCs w:val="24"/>
        </w:rPr>
        <w:t>riscos</w:t>
      </w:r>
      <w:r w:rsidR="0015142A" w:rsidRPr="00947CC1">
        <w:rPr>
          <w:rFonts w:ascii="Times New Roman" w:hAnsi="Times New Roman" w:cs="Times New Roman"/>
          <w:sz w:val="24"/>
          <w:szCs w:val="24"/>
        </w:rPr>
        <w:t xml:space="preserve"> associados à soberania</w:t>
      </w:r>
      <w:r w:rsidR="00291E67" w:rsidRPr="00947CC1">
        <w:rPr>
          <w:rFonts w:ascii="Times New Roman" w:hAnsi="Times New Roman" w:cs="Times New Roman"/>
          <w:sz w:val="24"/>
          <w:szCs w:val="24"/>
        </w:rPr>
        <w:t xml:space="preserve"> nacional</w:t>
      </w:r>
      <w:r w:rsidR="0015142A" w:rsidRPr="00947CC1">
        <w:rPr>
          <w:rFonts w:ascii="Times New Roman" w:hAnsi="Times New Roman" w:cs="Times New Roman"/>
          <w:sz w:val="24"/>
          <w:szCs w:val="24"/>
        </w:rPr>
        <w:t xml:space="preserve"> e criminalidade. </w:t>
      </w:r>
    </w:p>
    <w:p w14:paraId="2A9F7E8C" w14:textId="62B31C6B" w:rsidR="0081026C" w:rsidRPr="00947CC1" w:rsidRDefault="00A75AF4"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Nessa esteira, a</w:t>
      </w:r>
      <w:r w:rsidR="0081026C" w:rsidRPr="00947CC1">
        <w:rPr>
          <w:rFonts w:ascii="Times New Roman" w:hAnsi="Times New Roman" w:cs="Times New Roman"/>
          <w:sz w:val="24"/>
          <w:szCs w:val="24"/>
        </w:rPr>
        <w:t xml:space="preserve"> aplicação do </w:t>
      </w:r>
      <w:r w:rsidR="007D6496">
        <w:rPr>
          <w:rFonts w:ascii="Times New Roman" w:hAnsi="Times New Roman" w:cs="Times New Roman"/>
          <w:sz w:val="24"/>
          <w:szCs w:val="24"/>
        </w:rPr>
        <w:t>GR</w:t>
      </w:r>
      <w:r w:rsidR="0081026C" w:rsidRPr="00947CC1">
        <w:rPr>
          <w:rFonts w:ascii="Times New Roman" w:hAnsi="Times New Roman" w:cs="Times New Roman"/>
          <w:sz w:val="24"/>
          <w:szCs w:val="24"/>
        </w:rPr>
        <w:t xml:space="preserve"> nos fluxos migratórios deve considerar dois aspectos: </w:t>
      </w:r>
      <w:r w:rsidR="00923677" w:rsidRPr="00947CC1">
        <w:rPr>
          <w:rFonts w:ascii="Times New Roman" w:hAnsi="Times New Roman" w:cs="Times New Roman"/>
          <w:sz w:val="24"/>
          <w:szCs w:val="24"/>
        </w:rPr>
        <w:t xml:space="preserve">(I) </w:t>
      </w:r>
      <w:r w:rsidR="0081026C" w:rsidRPr="00947CC1">
        <w:rPr>
          <w:rFonts w:ascii="Times New Roman" w:hAnsi="Times New Roman" w:cs="Times New Roman"/>
          <w:sz w:val="24"/>
          <w:szCs w:val="24"/>
        </w:rPr>
        <w:t xml:space="preserve">os riscos do país </w:t>
      </w:r>
      <w:r w:rsidR="007D6496">
        <w:rPr>
          <w:rFonts w:ascii="Times New Roman" w:hAnsi="Times New Roman" w:cs="Times New Roman"/>
          <w:sz w:val="24"/>
          <w:szCs w:val="24"/>
        </w:rPr>
        <w:t>de ingresso</w:t>
      </w:r>
      <w:r w:rsidR="0081026C" w:rsidRPr="00947CC1">
        <w:rPr>
          <w:rFonts w:ascii="Times New Roman" w:hAnsi="Times New Roman" w:cs="Times New Roman"/>
          <w:sz w:val="24"/>
          <w:szCs w:val="24"/>
        </w:rPr>
        <w:t xml:space="preserve"> e </w:t>
      </w:r>
      <w:r w:rsidR="00923677" w:rsidRPr="00947CC1">
        <w:rPr>
          <w:rFonts w:ascii="Times New Roman" w:hAnsi="Times New Roman" w:cs="Times New Roman"/>
          <w:sz w:val="24"/>
          <w:szCs w:val="24"/>
        </w:rPr>
        <w:t xml:space="preserve">(II) </w:t>
      </w:r>
      <w:r w:rsidR="0081026C" w:rsidRPr="00947CC1">
        <w:rPr>
          <w:rFonts w:ascii="Times New Roman" w:hAnsi="Times New Roman" w:cs="Times New Roman"/>
          <w:sz w:val="24"/>
          <w:szCs w:val="24"/>
        </w:rPr>
        <w:t>os riscos associados ao migrante, de acordo com</w:t>
      </w:r>
      <w:r w:rsidR="007D6496">
        <w:rPr>
          <w:rFonts w:ascii="Times New Roman" w:hAnsi="Times New Roman" w:cs="Times New Roman"/>
          <w:sz w:val="24"/>
          <w:szCs w:val="24"/>
        </w:rPr>
        <w:t xml:space="preserve"> suas vulnerabilidades e</w:t>
      </w:r>
      <w:r w:rsidR="0081026C" w:rsidRPr="00947CC1">
        <w:rPr>
          <w:rFonts w:ascii="Times New Roman" w:hAnsi="Times New Roman" w:cs="Times New Roman"/>
          <w:sz w:val="24"/>
          <w:szCs w:val="24"/>
        </w:rPr>
        <w:t xml:space="preserve"> o motivo que o incentiva a migrar.</w:t>
      </w:r>
      <w:r w:rsidR="00C05E2A" w:rsidRPr="00947CC1">
        <w:rPr>
          <w:rFonts w:ascii="Times New Roman" w:hAnsi="Times New Roman" w:cs="Times New Roman"/>
          <w:sz w:val="24"/>
          <w:szCs w:val="24"/>
        </w:rPr>
        <w:t xml:space="preserve"> </w:t>
      </w:r>
      <w:r w:rsidR="00B643FE">
        <w:rPr>
          <w:rFonts w:ascii="Times New Roman" w:hAnsi="Times New Roman" w:cs="Times New Roman"/>
          <w:sz w:val="24"/>
          <w:szCs w:val="24"/>
        </w:rPr>
        <w:t>Assim</w:t>
      </w:r>
      <w:r w:rsidR="00C05E2A" w:rsidRPr="00947CC1">
        <w:rPr>
          <w:rFonts w:ascii="Times New Roman" w:hAnsi="Times New Roman" w:cs="Times New Roman"/>
          <w:sz w:val="24"/>
          <w:szCs w:val="24"/>
        </w:rPr>
        <w:t xml:space="preserve">, convém que a análise considere todos os dados relacionados ao tema, como o fluxo migratório e comercial, a economia, os assuntos de interesse nacional, os direitos humanos, o crime, </w:t>
      </w:r>
      <w:r w:rsidR="00EE0C2F" w:rsidRPr="00947CC1">
        <w:rPr>
          <w:rFonts w:ascii="Times New Roman" w:hAnsi="Times New Roman" w:cs="Times New Roman"/>
          <w:sz w:val="24"/>
          <w:szCs w:val="24"/>
        </w:rPr>
        <w:t xml:space="preserve">os riscos sanitários, </w:t>
      </w:r>
      <w:r w:rsidR="00C05E2A" w:rsidRPr="00947CC1">
        <w:rPr>
          <w:rFonts w:ascii="Times New Roman" w:hAnsi="Times New Roman" w:cs="Times New Roman"/>
          <w:sz w:val="24"/>
          <w:szCs w:val="24"/>
        </w:rPr>
        <w:t xml:space="preserve">o uso de recursos públicos, </w:t>
      </w:r>
      <w:r w:rsidR="00EE0C2F" w:rsidRPr="00947CC1">
        <w:rPr>
          <w:rFonts w:ascii="Times New Roman" w:hAnsi="Times New Roman" w:cs="Times New Roman"/>
          <w:sz w:val="24"/>
          <w:szCs w:val="24"/>
        </w:rPr>
        <w:t>entre outros</w:t>
      </w:r>
      <w:r w:rsidR="00C05E2A" w:rsidRPr="00947CC1">
        <w:rPr>
          <w:rFonts w:ascii="Times New Roman" w:hAnsi="Times New Roman" w:cs="Times New Roman"/>
          <w:sz w:val="24"/>
          <w:szCs w:val="24"/>
        </w:rPr>
        <w:t>.</w:t>
      </w:r>
    </w:p>
    <w:p w14:paraId="5E341CEF" w14:textId="0C561C80" w:rsidR="0081026C" w:rsidRPr="00947CC1" w:rsidRDefault="0081026C"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Em se tratando do ponto de vista do migrante, é importante identificar e avaliar os riscos associados especialmente à ocorrência de danos à integridade da pessoa, como </w:t>
      </w:r>
      <w:r w:rsidR="007D6496">
        <w:rPr>
          <w:rFonts w:ascii="Times New Roman" w:hAnsi="Times New Roman" w:cs="Times New Roman"/>
          <w:sz w:val="24"/>
          <w:szCs w:val="24"/>
        </w:rPr>
        <w:t>ameaças</w:t>
      </w:r>
      <w:r w:rsidR="007D6496" w:rsidRPr="00947CC1">
        <w:rPr>
          <w:rFonts w:ascii="Times New Roman" w:hAnsi="Times New Roman" w:cs="Times New Roman"/>
          <w:sz w:val="24"/>
          <w:szCs w:val="24"/>
        </w:rPr>
        <w:t xml:space="preserve"> </w:t>
      </w:r>
      <w:r w:rsidRPr="00947CC1">
        <w:rPr>
          <w:rFonts w:ascii="Times New Roman" w:hAnsi="Times New Roman" w:cs="Times New Roman"/>
          <w:sz w:val="24"/>
          <w:szCs w:val="24"/>
        </w:rPr>
        <w:t>à vida, saúde, segurança e situações sociais, culturais, econômicas e políticas que</w:t>
      </w:r>
      <w:r w:rsidR="009B62A7" w:rsidRPr="00947CC1">
        <w:rPr>
          <w:rFonts w:ascii="Times New Roman" w:hAnsi="Times New Roman" w:cs="Times New Roman"/>
          <w:sz w:val="24"/>
          <w:szCs w:val="24"/>
        </w:rPr>
        <w:t xml:space="preserve"> o</w:t>
      </w:r>
      <w:r w:rsidRPr="00947CC1">
        <w:rPr>
          <w:rFonts w:ascii="Times New Roman" w:hAnsi="Times New Roman" w:cs="Times New Roman"/>
          <w:sz w:val="24"/>
          <w:szCs w:val="24"/>
        </w:rPr>
        <w:t xml:space="preserve"> colocam em condições de maior risco de violação de seus direitos humanos, ou que o impeçam de buscar melhores condições de vida e de trabalho.</w:t>
      </w:r>
    </w:p>
    <w:p w14:paraId="52CCCA07" w14:textId="7DFD3D09" w:rsidR="0081026C" w:rsidRPr="00947CC1" w:rsidRDefault="00923677"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 xml:space="preserve">Portanto, </w:t>
      </w:r>
      <w:r w:rsidR="00EE0C2F" w:rsidRPr="00947CC1">
        <w:rPr>
          <w:rFonts w:ascii="Times New Roman" w:hAnsi="Times New Roman" w:cs="Times New Roman"/>
          <w:sz w:val="24"/>
          <w:szCs w:val="24"/>
        </w:rPr>
        <w:t>no contexto migratório</w:t>
      </w:r>
      <w:r w:rsidR="0081026C" w:rsidRPr="00947CC1">
        <w:rPr>
          <w:rFonts w:ascii="Times New Roman" w:hAnsi="Times New Roman" w:cs="Times New Roman"/>
          <w:sz w:val="24"/>
          <w:szCs w:val="24"/>
        </w:rPr>
        <w:t xml:space="preserve">, a </w:t>
      </w:r>
      <w:r w:rsidR="0085588B" w:rsidRPr="00947CC1">
        <w:rPr>
          <w:rFonts w:ascii="Times New Roman" w:hAnsi="Times New Roman" w:cs="Times New Roman"/>
          <w:sz w:val="24"/>
          <w:szCs w:val="24"/>
        </w:rPr>
        <w:t>G</w:t>
      </w:r>
      <w:r w:rsidR="0081026C" w:rsidRPr="00947CC1">
        <w:rPr>
          <w:rFonts w:ascii="Times New Roman" w:hAnsi="Times New Roman" w:cs="Times New Roman"/>
          <w:sz w:val="24"/>
          <w:szCs w:val="24"/>
        </w:rPr>
        <w:t>R pode auxiliar na definição de ações dentro da dinâmica de migração distintiva, ao identificar os riscos dos diferentes perfis de pessoas que cruzam a fronteira</w:t>
      </w:r>
      <w:r w:rsidRPr="00947CC1">
        <w:rPr>
          <w:rFonts w:ascii="Times New Roman" w:hAnsi="Times New Roman" w:cs="Times New Roman"/>
          <w:sz w:val="24"/>
          <w:szCs w:val="24"/>
        </w:rPr>
        <w:t>, como</w:t>
      </w:r>
      <w:r w:rsidR="0081026C" w:rsidRPr="00947CC1">
        <w:rPr>
          <w:rFonts w:ascii="Times New Roman" w:hAnsi="Times New Roman" w:cs="Times New Roman"/>
          <w:sz w:val="24"/>
          <w:szCs w:val="24"/>
        </w:rPr>
        <w:t xml:space="preserve"> o migrante regular, que procura acessar ou transitar para um país específico, de acordo com a legislação de imigração, cumprindo os requisitos estabelecidos</w:t>
      </w:r>
      <w:r w:rsidR="00C1572C" w:rsidRPr="00947CC1">
        <w:rPr>
          <w:rFonts w:ascii="Times New Roman" w:hAnsi="Times New Roman" w:cs="Times New Roman"/>
          <w:sz w:val="24"/>
          <w:szCs w:val="24"/>
        </w:rPr>
        <w:t>;</w:t>
      </w:r>
      <w:r w:rsidR="0081026C" w:rsidRPr="00947CC1">
        <w:rPr>
          <w:rFonts w:ascii="Times New Roman" w:hAnsi="Times New Roman" w:cs="Times New Roman"/>
          <w:sz w:val="24"/>
          <w:szCs w:val="24"/>
        </w:rPr>
        <w:t xml:space="preserve"> o migrante que entra irregularmente</w:t>
      </w:r>
      <w:r w:rsidR="00C1572C" w:rsidRPr="00947CC1">
        <w:rPr>
          <w:rFonts w:ascii="Times New Roman" w:hAnsi="Times New Roman" w:cs="Times New Roman"/>
          <w:sz w:val="24"/>
          <w:szCs w:val="24"/>
        </w:rPr>
        <w:t>;</w:t>
      </w:r>
      <w:r w:rsidR="0081026C" w:rsidRPr="00947CC1">
        <w:rPr>
          <w:rFonts w:ascii="Times New Roman" w:hAnsi="Times New Roman" w:cs="Times New Roman"/>
          <w:sz w:val="24"/>
          <w:szCs w:val="24"/>
        </w:rPr>
        <w:t xml:space="preserve"> os grupos vulneráveis</w:t>
      </w:r>
      <w:r w:rsidRPr="00947CC1">
        <w:rPr>
          <w:rFonts w:ascii="Times New Roman" w:hAnsi="Times New Roman" w:cs="Times New Roman"/>
          <w:sz w:val="24"/>
          <w:szCs w:val="24"/>
        </w:rPr>
        <w:t>; entre outros</w:t>
      </w:r>
      <w:r w:rsidR="0081026C" w:rsidRPr="00947CC1">
        <w:rPr>
          <w:rFonts w:ascii="Times New Roman" w:hAnsi="Times New Roman" w:cs="Times New Roman"/>
          <w:sz w:val="24"/>
          <w:szCs w:val="24"/>
        </w:rPr>
        <w:t>.</w:t>
      </w:r>
      <w:r w:rsidR="00C1572C" w:rsidRPr="00947CC1">
        <w:rPr>
          <w:rFonts w:ascii="Times New Roman" w:hAnsi="Times New Roman" w:cs="Times New Roman"/>
          <w:sz w:val="24"/>
          <w:szCs w:val="24"/>
        </w:rPr>
        <w:t xml:space="preserve"> </w:t>
      </w:r>
      <w:r w:rsidR="0081026C" w:rsidRPr="00947CC1">
        <w:rPr>
          <w:rFonts w:ascii="Times New Roman" w:hAnsi="Times New Roman" w:cs="Times New Roman"/>
          <w:sz w:val="24"/>
          <w:szCs w:val="24"/>
        </w:rPr>
        <w:t>Daí a relevância das autoridades migratórias e dos órgãos de segurança nas fronteiras definirem processos de coleta sistematizada de informações, além de protocolos e conhecimentos necessários</w:t>
      </w:r>
      <w:r w:rsidR="00A75AF4" w:rsidRPr="00947CC1">
        <w:rPr>
          <w:rFonts w:ascii="Times New Roman" w:hAnsi="Times New Roman" w:cs="Times New Roman"/>
          <w:sz w:val="24"/>
          <w:szCs w:val="24"/>
        </w:rPr>
        <w:t xml:space="preserve"> que alimentarão a </w:t>
      </w:r>
      <w:r w:rsidR="00420067">
        <w:rPr>
          <w:rFonts w:ascii="Times New Roman" w:hAnsi="Times New Roman" w:cs="Times New Roman"/>
          <w:sz w:val="24"/>
          <w:szCs w:val="24"/>
        </w:rPr>
        <w:t>A</w:t>
      </w:r>
      <w:r w:rsidR="00C1572C" w:rsidRPr="00947CC1">
        <w:rPr>
          <w:rFonts w:ascii="Times New Roman" w:hAnsi="Times New Roman" w:cs="Times New Roman"/>
          <w:sz w:val="24"/>
          <w:szCs w:val="24"/>
        </w:rPr>
        <w:t xml:space="preserve">nálise de </w:t>
      </w:r>
      <w:r w:rsidR="00420067">
        <w:rPr>
          <w:rFonts w:ascii="Times New Roman" w:hAnsi="Times New Roman" w:cs="Times New Roman"/>
          <w:sz w:val="24"/>
          <w:szCs w:val="24"/>
        </w:rPr>
        <w:t>R</w:t>
      </w:r>
      <w:r w:rsidR="00C1572C" w:rsidRPr="00947CC1">
        <w:rPr>
          <w:rFonts w:ascii="Times New Roman" w:hAnsi="Times New Roman" w:cs="Times New Roman"/>
          <w:sz w:val="24"/>
          <w:szCs w:val="24"/>
        </w:rPr>
        <w:t>iscos</w:t>
      </w:r>
      <w:r w:rsidR="00A75AF4" w:rsidRPr="00947CC1">
        <w:rPr>
          <w:rFonts w:ascii="Times New Roman" w:hAnsi="Times New Roman" w:cs="Times New Roman"/>
          <w:sz w:val="24"/>
          <w:szCs w:val="24"/>
        </w:rPr>
        <w:t xml:space="preserve"> a fim de</w:t>
      </w:r>
      <w:r w:rsidR="0081026C" w:rsidRPr="00947CC1">
        <w:rPr>
          <w:rFonts w:ascii="Times New Roman" w:hAnsi="Times New Roman" w:cs="Times New Roman"/>
          <w:sz w:val="24"/>
          <w:szCs w:val="24"/>
        </w:rPr>
        <w:t xml:space="preserve"> identificar o perfil de migrantes vulneráveis e </w:t>
      </w:r>
      <w:r w:rsidR="00C1572C" w:rsidRPr="00947CC1">
        <w:rPr>
          <w:rFonts w:ascii="Times New Roman" w:hAnsi="Times New Roman" w:cs="Times New Roman"/>
          <w:sz w:val="24"/>
          <w:szCs w:val="24"/>
        </w:rPr>
        <w:t xml:space="preserve">de </w:t>
      </w:r>
      <w:r w:rsidR="0081026C" w:rsidRPr="00947CC1">
        <w:rPr>
          <w:rFonts w:ascii="Times New Roman" w:hAnsi="Times New Roman" w:cs="Times New Roman"/>
          <w:sz w:val="24"/>
          <w:szCs w:val="24"/>
        </w:rPr>
        <w:t>pessoas que pretendem cometer qualquer tipo de irregularidade no país.</w:t>
      </w:r>
    </w:p>
    <w:p w14:paraId="4933C358" w14:textId="77777777" w:rsidR="004852B9" w:rsidRPr="00F83317" w:rsidRDefault="004852B9" w:rsidP="004852B9">
      <w:pPr>
        <w:spacing w:before="100" w:after="100" w:line="360" w:lineRule="auto"/>
        <w:jc w:val="both"/>
        <w:rPr>
          <w:rFonts w:ascii="Times New Roman" w:hAnsi="Times New Roman" w:cs="Times New Roman"/>
          <w:sz w:val="24"/>
          <w:szCs w:val="24"/>
        </w:rPr>
      </w:pPr>
    </w:p>
    <w:p w14:paraId="6893A228" w14:textId="60315D93" w:rsidR="003D5C0D" w:rsidRPr="00947CC1" w:rsidRDefault="003D5C0D" w:rsidP="00D4765E">
      <w:pPr>
        <w:pStyle w:val="PargrafodaLista"/>
        <w:numPr>
          <w:ilvl w:val="0"/>
          <w:numId w:val="1"/>
        </w:numPr>
        <w:rPr>
          <w:rFonts w:ascii="Times New Roman" w:hAnsi="Times New Roman" w:cs="Times New Roman"/>
          <w:b/>
          <w:lang w:val="pt-BR"/>
        </w:rPr>
      </w:pPr>
      <w:r w:rsidRPr="00947CC1">
        <w:rPr>
          <w:rFonts w:ascii="Times New Roman" w:hAnsi="Times New Roman" w:cs="Times New Roman"/>
          <w:b/>
          <w:lang w:val="pt-BR"/>
        </w:rPr>
        <w:t>Con</w:t>
      </w:r>
      <w:r w:rsidR="00C05E2A" w:rsidRPr="00947CC1">
        <w:rPr>
          <w:rFonts w:ascii="Times New Roman" w:hAnsi="Times New Roman" w:cs="Times New Roman"/>
          <w:b/>
          <w:lang w:val="pt-BR"/>
        </w:rPr>
        <w:t>siderações finais</w:t>
      </w:r>
    </w:p>
    <w:p w14:paraId="63BB5C71" w14:textId="77777777" w:rsidR="003209C8" w:rsidRDefault="003209C8" w:rsidP="00F83317">
      <w:pPr>
        <w:spacing w:before="100" w:after="100" w:line="360" w:lineRule="auto"/>
        <w:ind w:firstLine="709"/>
        <w:jc w:val="both"/>
        <w:rPr>
          <w:rFonts w:ascii="Times New Roman" w:hAnsi="Times New Roman" w:cs="Times New Roman"/>
          <w:sz w:val="24"/>
          <w:szCs w:val="24"/>
        </w:rPr>
      </w:pPr>
    </w:p>
    <w:p w14:paraId="17661110" w14:textId="287CF0E6" w:rsidR="003D5C0D" w:rsidRPr="00947CC1" w:rsidRDefault="003D5C0D"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O fluxo de pessoas, mercadorias e veículos aliado</w:t>
      </w:r>
      <w:r w:rsidR="00B832F9" w:rsidRPr="00947CC1">
        <w:rPr>
          <w:rFonts w:ascii="Times New Roman" w:hAnsi="Times New Roman" w:cs="Times New Roman"/>
          <w:sz w:val="24"/>
          <w:szCs w:val="24"/>
        </w:rPr>
        <w:t>s</w:t>
      </w:r>
      <w:r w:rsidRPr="00947CC1">
        <w:rPr>
          <w:rFonts w:ascii="Times New Roman" w:hAnsi="Times New Roman" w:cs="Times New Roman"/>
          <w:sz w:val="24"/>
          <w:szCs w:val="24"/>
        </w:rPr>
        <w:t xml:space="preserve"> à extensão e à diversidade local de nossas fronteiras </w:t>
      </w:r>
      <w:r w:rsidRPr="006D1354">
        <w:rPr>
          <w:rFonts w:ascii="Times New Roman" w:hAnsi="Times New Roman" w:cs="Times New Roman"/>
          <w:sz w:val="24"/>
          <w:szCs w:val="24"/>
        </w:rPr>
        <w:t>implicam</w:t>
      </w:r>
      <w:r w:rsidRPr="00947CC1">
        <w:rPr>
          <w:rFonts w:ascii="Times New Roman" w:hAnsi="Times New Roman" w:cs="Times New Roman"/>
          <w:sz w:val="24"/>
          <w:szCs w:val="24"/>
        </w:rPr>
        <w:t xml:space="preserve"> a necessidade governamental em gerenciar e coordenar as ações de todas as partes envolvidas nesse processo. Dessa forma, a </w:t>
      </w:r>
      <w:r w:rsidR="00C05E2A" w:rsidRPr="00947CC1">
        <w:rPr>
          <w:rFonts w:ascii="Times New Roman" w:hAnsi="Times New Roman" w:cs="Times New Roman"/>
          <w:sz w:val="24"/>
          <w:szCs w:val="24"/>
        </w:rPr>
        <w:t>G</w:t>
      </w:r>
      <w:r w:rsidRPr="00947CC1">
        <w:rPr>
          <w:rFonts w:ascii="Times New Roman" w:hAnsi="Times New Roman" w:cs="Times New Roman"/>
          <w:sz w:val="24"/>
          <w:szCs w:val="24"/>
        </w:rPr>
        <w:t xml:space="preserve">estão </w:t>
      </w:r>
      <w:r w:rsidR="00C05E2A" w:rsidRPr="00947CC1">
        <w:rPr>
          <w:rFonts w:ascii="Times New Roman" w:hAnsi="Times New Roman" w:cs="Times New Roman"/>
          <w:sz w:val="24"/>
          <w:szCs w:val="24"/>
        </w:rPr>
        <w:t>C</w:t>
      </w:r>
      <w:r w:rsidRPr="00947CC1">
        <w:rPr>
          <w:rFonts w:ascii="Times New Roman" w:hAnsi="Times New Roman" w:cs="Times New Roman"/>
          <w:sz w:val="24"/>
          <w:szCs w:val="24"/>
        </w:rPr>
        <w:t xml:space="preserve">oordenada de </w:t>
      </w:r>
      <w:r w:rsidR="00C05E2A" w:rsidRPr="00947CC1">
        <w:rPr>
          <w:rFonts w:ascii="Times New Roman" w:hAnsi="Times New Roman" w:cs="Times New Roman"/>
          <w:sz w:val="24"/>
          <w:szCs w:val="24"/>
        </w:rPr>
        <w:t>F</w:t>
      </w:r>
      <w:r w:rsidRPr="00947CC1">
        <w:rPr>
          <w:rFonts w:ascii="Times New Roman" w:hAnsi="Times New Roman" w:cs="Times New Roman"/>
          <w:sz w:val="24"/>
          <w:szCs w:val="24"/>
        </w:rPr>
        <w:t xml:space="preserve">ronteiras pode auxiliar a melhorar o trânsito de </w:t>
      </w:r>
      <w:r w:rsidR="00B832F9" w:rsidRPr="00947CC1">
        <w:rPr>
          <w:rFonts w:ascii="Times New Roman" w:hAnsi="Times New Roman" w:cs="Times New Roman"/>
          <w:sz w:val="24"/>
          <w:szCs w:val="24"/>
        </w:rPr>
        <w:t>indivíduos</w:t>
      </w:r>
      <w:r w:rsidRPr="00947CC1">
        <w:rPr>
          <w:rFonts w:ascii="Times New Roman" w:hAnsi="Times New Roman" w:cs="Times New Roman"/>
          <w:sz w:val="24"/>
          <w:szCs w:val="24"/>
        </w:rPr>
        <w:t>, o controle fiscal e a segurança a partir de uma estrutura de eficácia e eficiência, pelo que minimiza a duplicação de esforços e maximiza o uso eficiente dos recursos públicos por meio de procedimentos institucionais, nacionais e internacionais de forma integrada.</w:t>
      </w:r>
    </w:p>
    <w:p w14:paraId="679A068D" w14:textId="45520532" w:rsidR="00C05E2A" w:rsidRPr="00947CC1" w:rsidRDefault="006403C9"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Portanto, torna-se fundamental</w:t>
      </w:r>
      <w:r w:rsidR="00C05E2A" w:rsidRPr="00947CC1">
        <w:rPr>
          <w:rFonts w:ascii="Times New Roman" w:hAnsi="Times New Roman" w:cs="Times New Roman"/>
          <w:sz w:val="24"/>
          <w:szCs w:val="24"/>
        </w:rPr>
        <w:t xml:space="preserve"> estabelecer uma forma de se priorizar quais operações e controles em áreas de fronteira devem se concentrar os esforços </w:t>
      </w:r>
      <w:r w:rsidR="00C1572C" w:rsidRPr="00947CC1">
        <w:rPr>
          <w:rFonts w:ascii="Times New Roman" w:hAnsi="Times New Roman" w:cs="Times New Roman"/>
          <w:sz w:val="24"/>
          <w:szCs w:val="24"/>
        </w:rPr>
        <w:t>públicos</w:t>
      </w:r>
      <w:r w:rsidR="00C05E2A" w:rsidRPr="00947CC1">
        <w:rPr>
          <w:rFonts w:ascii="Times New Roman" w:hAnsi="Times New Roman" w:cs="Times New Roman"/>
          <w:sz w:val="24"/>
          <w:szCs w:val="24"/>
        </w:rPr>
        <w:t>. Nesse sentido, a análise de risco permite estabelecer métricas e critérios para maximizar a eficácia no uso de recursos, além de identificar um ponto de equilíbrio entre a proteção e a facilitação do acesso, podendo se tornar um vetor importante para o desenvolvimento do país</w:t>
      </w:r>
      <w:r w:rsidR="009B62A7" w:rsidRPr="00947CC1">
        <w:rPr>
          <w:rFonts w:ascii="Times New Roman" w:hAnsi="Times New Roman" w:cs="Times New Roman"/>
          <w:sz w:val="24"/>
          <w:szCs w:val="24"/>
        </w:rPr>
        <w:t>, especialmente no momento presente de retomada da dinâmica migratória ainda em meio aos riscos sanitários existentes determinados pela Covid-19</w:t>
      </w:r>
      <w:r w:rsidR="00C05E2A" w:rsidRPr="00947CC1">
        <w:rPr>
          <w:rFonts w:ascii="Times New Roman" w:hAnsi="Times New Roman" w:cs="Times New Roman"/>
          <w:sz w:val="24"/>
          <w:szCs w:val="24"/>
        </w:rPr>
        <w:t>.</w:t>
      </w:r>
      <w:r w:rsidR="00F40359" w:rsidRPr="00947CC1">
        <w:rPr>
          <w:rFonts w:ascii="Times New Roman" w:hAnsi="Times New Roman" w:cs="Times New Roman"/>
          <w:sz w:val="24"/>
          <w:szCs w:val="24"/>
        </w:rPr>
        <w:t xml:space="preserve"> </w:t>
      </w:r>
    </w:p>
    <w:p w14:paraId="67332C82" w14:textId="56355A76" w:rsidR="001C7BDE" w:rsidRPr="00947CC1" w:rsidRDefault="00C05E2A" w:rsidP="00F83317">
      <w:pPr>
        <w:spacing w:before="100" w:after="100" w:line="360" w:lineRule="auto"/>
        <w:ind w:firstLine="709"/>
        <w:jc w:val="both"/>
        <w:rPr>
          <w:rFonts w:ascii="Times New Roman" w:hAnsi="Times New Roman" w:cs="Times New Roman"/>
          <w:sz w:val="24"/>
          <w:szCs w:val="24"/>
        </w:rPr>
      </w:pPr>
      <w:r w:rsidRPr="00947CC1">
        <w:rPr>
          <w:rFonts w:ascii="Times New Roman" w:hAnsi="Times New Roman" w:cs="Times New Roman"/>
          <w:sz w:val="24"/>
          <w:szCs w:val="24"/>
        </w:rPr>
        <w:t>Finalmente,</w:t>
      </w:r>
      <w:r w:rsidR="001E0BD4" w:rsidRPr="00947CC1">
        <w:rPr>
          <w:rFonts w:ascii="Times New Roman" w:hAnsi="Times New Roman" w:cs="Times New Roman"/>
          <w:sz w:val="24"/>
          <w:szCs w:val="24"/>
        </w:rPr>
        <w:t xml:space="preserve"> para</w:t>
      </w:r>
      <w:r w:rsidRPr="00947CC1">
        <w:rPr>
          <w:rFonts w:ascii="Times New Roman" w:hAnsi="Times New Roman" w:cs="Times New Roman"/>
          <w:sz w:val="24"/>
          <w:szCs w:val="24"/>
        </w:rPr>
        <w:t xml:space="preserve"> uma gestão </w:t>
      </w:r>
      <w:r w:rsidR="001E0BD4" w:rsidRPr="00947CC1">
        <w:rPr>
          <w:rFonts w:ascii="Times New Roman" w:hAnsi="Times New Roman" w:cs="Times New Roman"/>
          <w:sz w:val="24"/>
          <w:szCs w:val="24"/>
        </w:rPr>
        <w:t xml:space="preserve">eficaz </w:t>
      </w:r>
      <w:r w:rsidRPr="00947CC1">
        <w:rPr>
          <w:rFonts w:ascii="Times New Roman" w:hAnsi="Times New Roman" w:cs="Times New Roman"/>
          <w:sz w:val="24"/>
          <w:szCs w:val="24"/>
        </w:rPr>
        <w:t xml:space="preserve">de fronteiras, é preciso instrumentalizá-la com um procedimento de </w:t>
      </w:r>
      <w:r w:rsidR="001C7BDE" w:rsidRPr="00947CC1">
        <w:rPr>
          <w:rFonts w:ascii="Times New Roman" w:hAnsi="Times New Roman" w:cs="Times New Roman"/>
          <w:sz w:val="24"/>
          <w:szCs w:val="24"/>
        </w:rPr>
        <w:t>gestão de riscos</w:t>
      </w:r>
      <w:r w:rsidR="00964128" w:rsidRPr="00947CC1">
        <w:rPr>
          <w:rFonts w:ascii="Times New Roman" w:hAnsi="Times New Roman" w:cs="Times New Roman"/>
          <w:sz w:val="24"/>
          <w:szCs w:val="24"/>
        </w:rPr>
        <w:t xml:space="preserve"> integral,</w:t>
      </w:r>
      <w:r w:rsidRPr="00947CC1">
        <w:rPr>
          <w:rFonts w:ascii="Times New Roman" w:hAnsi="Times New Roman" w:cs="Times New Roman"/>
          <w:sz w:val="24"/>
          <w:szCs w:val="24"/>
        </w:rPr>
        <w:t xml:space="preserve"> que</w:t>
      </w:r>
      <w:r w:rsidR="001C7BDE" w:rsidRPr="00947CC1">
        <w:rPr>
          <w:rFonts w:ascii="Times New Roman" w:hAnsi="Times New Roman" w:cs="Times New Roman"/>
          <w:sz w:val="24"/>
          <w:szCs w:val="24"/>
        </w:rPr>
        <w:t xml:space="preserve"> considera diversos fatores de influência, tanto sob o ponto de vista do Estado, quanto do migrante, que, em última análise, se convergem para um mesmo objetivo: construir uma sociedade livre, justa e solidária, na proteção dos direitos fundamentais e no interesse legítimo dos países em salvaguardar a segurança nacional</w:t>
      </w:r>
      <w:r w:rsidR="00B832F9" w:rsidRPr="00947CC1">
        <w:rPr>
          <w:rFonts w:ascii="Times New Roman" w:hAnsi="Times New Roman" w:cs="Times New Roman"/>
          <w:sz w:val="24"/>
          <w:szCs w:val="24"/>
        </w:rPr>
        <w:t>, seja em questões ambientais</w:t>
      </w:r>
      <w:r w:rsidR="00420067">
        <w:rPr>
          <w:rFonts w:ascii="Times New Roman" w:hAnsi="Times New Roman" w:cs="Times New Roman"/>
          <w:sz w:val="24"/>
          <w:szCs w:val="24"/>
        </w:rPr>
        <w:t xml:space="preserve"> e</w:t>
      </w:r>
      <w:r w:rsidR="00411BEA" w:rsidRPr="00947CC1">
        <w:rPr>
          <w:rFonts w:ascii="Times New Roman" w:hAnsi="Times New Roman" w:cs="Times New Roman"/>
          <w:sz w:val="24"/>
          <w:szCs w:val="24"/>
        </w:rPr>
        <w:t xml:space="preserve"> sanitárias, seja no</w:t>
      </w:r>
      <w:r w:rsidR="001C7BDE" w:rsidRPr="00947CC1">
        <w:rPr>
          <w:rFonts w:ascii="Times New Roman" w:hAnsi="Times New Roman" w:cs="Times New Roman"/>
          <w:sz w:val="24"/>
          <w:szCs w:val="24"/>
        </w:rPr>
        <w:t xml:space="preserve"> combate </w:t>
      </w:r>
      <w:r w:rsidR="00411BEA" w:rsidRPr="00947CC1">
        <w:rPr>
          <w:rFonts w:ascii="Times New Roman" w:hAnsi="Times New Roman" w:cs="Times New Roman"/>
          <w:sz w:val="24"/>
          <w:szCs w:val="24"/>
        </w:rPr>
        <w:t xml:space="preserve">a </w:t>
      </w:r>
      <w:r w:rsidR="001C7BDE" w:rsidRPr="00947CC1">
        <w:rPr>
          <w:rFonts w:ascii="Times New Roman" w:hAnsi="Times New Roman" w:cs="Times New Roman"/>
          <w:sz w:val="24"/>
          <w:szCs w:val="24"/>
        </w:rPr>
        <w:t>atividades criminosas transnacionais</w:t>
      </w:r>
      <w:r w:rsidR="00AB3BBB" w:rsidRPr="00947CC1">
        <w:rPr>
          <w:rFonts w:ascii="Times New Roman" w:hAnsi="Times New Roman" w:cs="Times New Roman"/>
          <w:sz w:val="24"/>
          <w:szCs w:val="24"/>
        </w:rPr>
        <w:t>. T</w:t>
      </w:r>
      <w:r w:rsidR="006403C9" w:rsidRPr="00947CC1">
        <w:rPr>
          <w:rFonts w:ascii="Times New Roman" w:hAnsi="Times New Roman" w:cs="Times New Roman"/>
          <w:sz w:val="24"/>
          <w:szCs w:val="24"/>
        </w:rPr>
        <w:t>rata-se da convergência entre os direitos humanos e a segurança nacional</w:t>
      </w:r>
      <w:r w:rsidR="00411BEA" w:rsidRPr="00947CC1">
        <w:rPr>
          <w:rFonts w:ascii="Times New Roman" w:hAnsi="Times New Roman" w:cs="Times New Roman"/>
          <w:sz w:val="24"/>
          <w:szCs w:val="24"/>
        </w:rPr>
        <w:t xml:space="preserve">, compreendida </w:t>
      </w:r>
      <w:r w:rsidR="006403C9" w:rsidRPr="00947CC1">
        <w:rPr>
          <w:rFonts w:ascii="Times New Roman" w:hAnsi="Times New Roman" w:cs="Times New Roman"/>
          <w:sz w:val="24"/>
          <w:szCs w:val="24"/>
        </w:rPr>
        <w:t xml:space="preserve">por meio da análise de riscos </w:t>
      </w:r>
      <w:r w:rsidR="00411BEA" w:rsidRPr="00947CC1">
        <w:rPr>
          <w:rFonts w:ascii="Times New Roman" w:hAnsi="Times New Roman" w:cs="Times New Roman"/>
          <w:sz w:val="24"/>
          <w:szCs w:val="24"/>
        </w:rPr>
        <w:t>e implementada através d</w:t>
      </w:r>
      <w:r w:rsidR="006403C9" w:rsidRPr="00947CC1">
        <w:rPr>
          <w:rFonts w:ascii="Times New Roman" w:hAnsi="Times New Roman" w:cs="Times New Roman"/>
          <w:sz w:val="24"/>
          <w:szCs w:val="24"/>
        </w:rPr>
        <w:t>a Gestão Coordenada de Fronteiras.</w:t>
      </w:r>
    </w:p>
    <w:p w14:paraId="149870FD" w14:textId="77777777" w:rsidR="004D2491" w:rsidRPr="00947CC1" w:rsidRDefault="004D2491" w:rsidP="00370CF4">
      <w:pPr>
        <w:jc w:val="center"/>
        <w:rPr>
          <w:rFonts w:ascii="Times New Roman" w:hAnsi="Times New Roman" w:cs="Times New Roman"/>
          <w:b/>
          <w:sz w:val="24"/>
          <w:szCs w:val="24"/>
        </w:rPr>
      </w:pPr>
    </w:p>
    <w:p w14:paraId="458BA7E1" w14:textId="77777777" w:rsidR="004D2491" w:rsidRPr="00947CC1" w:rsidRDefault="004D2491" w:rsidP="00370CF4">
      <w:pPr>
        <w:jc w:val="center"/>
        <w:rPr>
          <w:rFonts w:ascii="Times New Roman" w:hAnsi="Times New Roman" w:cs="Times New Roman"/>
          <w:b/>
          <w:sz w:val="24"/>
          <w:szCs w:val="24"/>
        </w:rPr>
      </w:pPr>
    </w:p>
    <w:p w14:paraId="328A8B2E" w14:textId="77777777" w:rsidR="004D2491" w:rsidRPr="00947CC1" w:rsidRDefault="004D2491" w:rsidP="00370CF4">
      <w:pPr>
        <w:jc w:val="center"/>
        <w:rPr>
          <w:rFonts w:ascii="Times New Roman" w:hAnsi="Times New Roman" w:cs="Times New Roman"/>
          <w:b/>
          <w:sz w:val="24"/>
          <w:szCs w:val="24"/>
        </w:rPr>
      </w:pPr>
    </w:p>
    <w:p w14:paraId="0A9AAAE6" w14:textId="77777777" w:rsidR="004D2491" w:rsidRPr="00947CC1" w:rsidRDefault="004D2491" w:rsidP="00370CF4">
      <w:pPr>
        <w:jc w:val="center"/>
        <w:rPr>
          <w:rFonts w:ascii="Times New Roman" w:hAnsi="Times New Roman" w:cs="Times New Roman"/>
          <w:b/>
          <w:sz w:val="24"/>
          <w:szCs w:val="24"/>
        </w:rPr>
      </w:pPr>
    </w:p>
    <w:p w14:paraId="57193FD5" w14:textId="77777777" w:rsidR="004D2491" w:rsidRPr="00947CC1" w:rsidRDefault="004D2491" w:rsidP="00370CF4">
      <w:pPr>
        <w:jc w:val="center"/>
        <w:rPr>
          <w:rFonts w:ascii="Times New Roman" w:hAnsi="Times New Roman" w:cs="Times New Roman"/>
          <w:b/>
          <w:sz w:val="24"/>
          <w:szCs w:val="24"/>
        </w:rPr>
      </w:pPr>
    </w:p>
    <w:p w14:paraId="288A2B65" w14:textId="77777777" w:rsidR="004D2491" w:rsidRPr="00947CC1" w:rsidRDefault="004D2491" w:rsidP="00370CF4">
      <w:pPr>
        <w:jc w:val="center"/>
        <w:rPr>
          <w:rFonts w:ascii="Times New Roman" w:hAnsi="Times New Roman" w:cs="Times New Roman"/>
          <w:b/>
          <w:sz w:val="24"/>
          <w:szCs w:val="24"/>
        </w:rPr>
      </w:pPr>
    </w:p>
    <w:p w14:paraId="043121A3" w14:textId="77777777" w:rsidR="004D2491" w:rsidRPr="00947CC1" w:rsidRDefault="004D2491" w:rsidP="00370CF4">
      <w:pPr>
        <w:jc w:val="center"/>
        <w:rPr>
          <w:rFonts w:ascii="Times New Roman" w:hAnsi="Times New Roman" w:cs="Times New Roman"/>
          <w:b/>
          <w:sz w:val="24"/>
          <w:szCs w:val="24"/>
        </w:rPr>
      </w:pPr>
    </w:p>
    <w:p w14:paraId="2A7913C8" w14:textId="77777777" w:rsidR="004D2491" w:rsidRPr="00947CC1" w:rsidRDefault="004D2491" w:rsidP="00370CF4">
      <w:pPr>
        <w:jc w:val="center"/>
        <w:rPr>
          <w:rFonts w:ascii="Times New Roman" w:hAnsi="Times New Roman" w:cs="Times New Roman"/>
          <w:b/>
          <w:sz w:val="24"/>
          <w:szCs w:val="24"/>
        </w:rPr>
      </w:pPr>
    </w:p>
    <w:p w14:paraId="3E1F0CBD" w14:textId="77777777" w:rsidR="004D2491" w:rsidRPr="00947CC1" w:rsidRDefault="004D2491" w:rsidP="00370CF4">
      <w:pPr>
        <w:jc w:val="center"/>
        <w:rPr>
          <w:rFonts w:ascii="Times New Roman" w:hAnsi="Times New Roman" w:cs="Times New Roman"/>
          <w:b/>
          <w:sz w:val="24"/>
          <w:szCs w:val="24"/>
        </w:rPr>
      </w:pPr>
    </w:p>
    <w:p w14:paraId="3D662D54" w14:textId="77777777" w:rsidR="004D2491" w:rsidRPr="00947CC1" w:rsidRDefault="004D2491" w:rsidP="00370CF4">
      <w:pPr>
        <w:jc w:val="center"/>
        <w:rPr>
          <w:rFonts w:ascii="Times New Roman" w:hAnsi="Times New Roman" w:cs="Times New Roman"/>
          <w:b/>
          <w:sz w:val="24"/>
          <w:szCs w:val="24"/>
        </w:rPr>
      </w:pPr>
    </w:p>
    <w:p w14:paraId="344A53DA" w14:textId="227FAC1D" w:rsidR="004D2491" w:rsidRPr="00947CC1" w:rsidRDefault="004D2491" w:rsidP="00370CF4">
      <w:pPr>
        <w:jc w:val="center"/>
        <w:rPr>
          <w:rFonts w:ascii="Times New Roman" w:hAnsi="Times New Roman" w:cs="Times New Roman"/>
          <w:b/>
          <w:sz w:val="24"/>
          <w:szCs w:val="24"/>
        </w:rPr>
      </w:pPr>
    </w:p>
    <w:p w14:paraId="16FA86D1" w14:textId="2412AED5" w:rsidR="004D2491" w:rsidRPr="00947CC1" w:rsidRDefault="004D2491" w:rsidP="00370CF4">
      <w:pPr>
        <w:jc w:val="center"/>
        <w:rPr>
          <w:rFonts w:ascii="Times New Roman" w:hAnsi="Times New Roman" w:cs="Times New Roman"/>
          <w:b/>
          <w:sz w:val="24"/>
          <w:szCs w:val="24"/>
        </w:rPr>
      </w:pPr>
    </w:p>
    <w:p w14:paraId="0F1B665A" w14:textId="2C9F865F" w:rsidR="00370CF4" w:rsidRPr="00947CC1" w:rsidRDefault="00370CF4" w:rsidP="00370CF4">
      <w:pPr>
        <w:jc w:val="center"/>
        <w:rPr>
          <w:rFonts w:ascii="Times New Roman" w:hAnsi="Times New Roman" w:cs="Times New Roman"/>
          <w:b/>
          <w:sz w:val="24"/>
          <w:szCs w:val="24"/>
          <w:lang w:val="en-US"/>
        </w:rPr>
      </w:pPr>
      <w:r w:rsidRPr="00947CC1">
        <w:rPr>
          <w:rFonts w:ascii="Times New Roman" w:hAnsi="Times New Roman" w:cs="Times New Roman"/>
          <w:b/>
          <w:sz w:val="24"/>
          <w:szCs w:val="24"/>
          <w:lang w:val="en-US"/>
        </w:rPr>
        <w:t>Risk Analysis in Coordinated Border Management: The Convergence Between Human Rights and National Security in International Migration</w:t>
      </w:r>
    </w:p>
    <w:p w14:paraId="4C074EF7" w14:textId="77777777" w:rsidR="00370CF4" w:rsidRPr="00947CC1" w:rsidRDefault="00370CF4" w:rsidP="00370CF4">
      <w:pPr>
        <w:rPr>
          <w:rFonts w:ascii="Times New Roman" w:hAnsi="Times New Roman" w:cs="Times New Roman"/>
          <w:sz w:val="24"/>
          <w:szCs w:val="24"/>
          <w:lang w:val="en-US"/>
        </w:rPr>
      </w:pPr>
    </w:p>
    <w:p w14:paraId="4F6D3478" w14:textId="28C7A5AA" w:rsidR="00370CF4" w:rsidRPr="00947CC1" w:rsidRDefault="00370CF4" w:rsidP="00370CF4">
      <w:pPr>
        <w:jc w:val="center"/>
        <w:rPr>
          <w:rFonts w:ascii="Times New Roman" w:hAnsi="Times New Roman" w:cs="Times New Roman"/>
          <w:sz w:val="24"/>
          <w:szCs w:val="24"/>
          <w:lang w:val="en-US"/>
        </w:rPr>
      </w:pPr>
      <w:r w:rsidRPr="00947CC1">
        <w:rPr>
          <w:rFonts w:ascii="Times New Roman" w:hAnsi="Times New Roman" w:cs="Times New Roman"/>
          <w:sz w:val="24"/>
          <w:szCs w:val="24"/>
          <w:lang w:val="en-US"/>
        </w:rPr>
        <w:t>ABSTRACT</w:t>
      </w:r>
    </w:p>
    <w:p w14:paraId="2B82B829" w14:textId="77777777" w:rsidR="00370CF4" w:rsidRPr="00947CC1" w:rsidRDefault="00370CF4" w:rsidP="00370CF4">
      <w:pPr>
        <w:rPr>
          <w:rFonts w:ascii="Times New Roman" w:hAnsi="Times New Roman" w:cs="Times New Roman"/>
          <w:sz w:val="24"/>
          <w:szCs w:val="24"/>
          <w:lang w:val="en-US"/>
        </w:rPr>
      </w:pPr>
    </w:p>
    <w:p w14:paraId="50DFCB32" w14:textId="77777777" w:rsidR="00370CF4" w:rsidRPr="00947CC1" w:rsidRDefault="00370CF4" w:rsidP="00370CF4">
      <w:pPr>
        <w:rPr>
          <w:rFonts w:ascii="Times New Roman" w:hAnsi="Times New Roman" w:cs="Times New Roman"/>
          <w:sz w:val="24"/>
          <w:szCs w:val="24"/>
          <w:lang w:val="en-US"/>
        </w:rPr>
      </w:pPr>
    </w:p>
    <w:p w14:paraId="34830FE3" w14:textId="77777777" w:rsidR="00370CF4" w:rsidRPr="00947CC1" w:rsidRDefault="00370CF4" w:rsidP="00370CF4">
      <w:pPr>
        <w:rPr>
          <w:rFonts w:ascii="Times New Roman" w:hAnsi="Times New Roman" w:cs="Times New Roman"/>
          <w:sz w:val="24"/>
          <w:szCs w:val="24"/>
          <w:lang w:val="en-US"/>
        </w:rPr>
      </w:pPr>
    </w:p>
    <w:p w14:paraId="5C394879" w14:textId="5773BDDE" w:rsidR="00370CF4" w:rsidRPr="00947CC1" w:rsidRDefault="00F83317" w:rsidP="00293DB9">
      <w:pPr>
        <w:pStyle w:val="WW-Recuodecorpodetexto2"/>
        <w:spacing w:before="0" w:after="0" w:line="360" w:lineRule="auto"/>
        <w:jc w:val="both"/>
        <w:rPr>
          <w:rFonts w:cs="Times New Roman"/>
          <w:lang w:val="en-US"/>
        </w:rPr>
      </w:pPr>
      <w:r w:rsidRPr="00F83317">
        <w:rPr>
          <w:rFonts w:cs="Times New Roman"/>
          <w:lang w:val="en-US"/>
        </w:rPr>
        <w:t>The article aims to establish general guidelines for a risk analysis methodology by providing guidance on how to ensure that border management and governance activities comply with human rights standards while ensuring national security. In this way, the initiative aims at exposing the relevance of a structured process to measure the risks related to the protection of the fundamental rights of migrants and in the legitimate interest of countries in safeguarding their borders. It is about the convergence between human rights and national security, in the search for the efficiency of a Coordinated Border Management.</w:t>
      </w:r>
    </w:p>
    <w:p w14:paraId="3057DE08" w14:textId="35EDA449" w:rsidR="00370CF4" w:rsidRPr="00947CC1" w:rsidRDefault="00370CF4" w:rsidP="00370CF4">
      <w:pPr>
        <w:jc w:val="both"/>
        <w:rPr>
          <w:rFonts w:ascii="Times New Roman" w:hAnsi="Times New Roman" w:cs="Times New Roman"/>
          <w:sz w:val="24"/>
          <w:szCs w:val="24"/>
          <w:lang w:val="en-US"/>
        </w:rPr>
      </w:pPr>
    </w:p>
    <w:p w14:paraId="78C45404" w14:textId="1ED812F1" w:rsidR="00370CF4" w:rsidRPr="00947CC1" w:rsidRDefault="00370CF4" w:rsidP="00370CF4">
      <w:pPr>
        <w:jc w:val="both"/>
        <w:rPr>
          <w:rFonts w:ascii="Times New Roman" w:hAnsi="Times New Roman" w:cs="Times New Roman"/>
          <w:sz w:val="24"/>
          <w:szCs w:val="24"/>
          <w:lang w:val="en-US"/>
        </w:rPr>
      </w:pPr>
    </w:p>
    <w:p w14:paraId="625B7A32" w14:textId="6A6BB76A" w:rsidR="00370CF4" w:rsidRPr="00947CC1" w:rsidRDefault="00370CF4" w:rsidP="00370CF4">
      <w:pPr>
        <w:jc w:val="both"/>
        <w:rPr>
          <w:rFonts w:ascii="Times New Roman" w:hAnsi="Times New Roman" w:cs="Times New Roman"/>
          <w:sz w:val="24"/>
          <w:szCs w:val="24"/>
          <w:lang w:val="en-US"/>
        </w:rPr>
      </w:pPr>
    </w:p>
    <w:p w14:paraId="416842E3" w14:textId="57DACF16" w:rsidR="00370CF4" w:rsidRPr="00947CC1" w:rsidRDefault="00370CF4" w:rsidP="00370CF4">
      <w:pPr>
        <w:jc w:val="both"/>
        <w:rPr>
          <w:rFonts w:ascii="Times New Roman" w:hAnsi="Times New Roman" w:cs="Times New Roman"/>
          <w:sz w:val="24"/>
          <w:szCs w:val="24"/>
          <w:lang w:val="en-US"/>
        </w:rPr>
      </w:pPr>
    </w:p>
    <w:p w14:paraId="004769EB" w14:textId="4EB71790" w:rsidR="00370CF4" w:rsidRPr="00947CC1" w:rsidRDefault="00370CF4" w:rsidP="00370CF4">
      <w:pPr>
        <w:jc w:val="both"/>
        <w:rPr>
          <w:rFonts w:ascii="Times New Roman" w:hAnsi="Times New Roman" w:cs="Times New Roman"/>
          <w:sz w:val="24"/>
          <w:szCs w:val="24"/>
          <w:lang w:val="en-US"/>
        </w:rPr>
      </w:pPr>
    </w:p>
    <w:p w14:paraId="25580F58" w14:textId="77777777" w:rsidR="00370CF4" w:rsidRPr="00947CC1" w:rsidRDefault="00370CF4" w:rsidP="00370CF4">
      <w:pPr>
        <w:jc w:val="both"/>
        <w:rPr>
          <w:rFonts w:ascii="Times New Roman" w:hAnsi="Times New Roman" w:cs="Times New Roman"/>
          <w:sz w:val="24"/>
          <w:szCs w:val="24"/>
          <w:lang w:val="en-US"/>
        </w:rPr>
      </w:pPr>
    </w:p>
    <w:p w14:paraId="610FDC2F" w14:textId="3C866A1B" w:rsidR="00370CF4" w:rsidRPr="00F83317" w:rsidRDefault="00370CF4" w:rsidP="00370CF4">
      <w:pPr>
        <w:jc w:val="both"/>
        <w:rPr>
          <w:rFonts w:ascii="Times New Roman" w:hAnsi="Times New Roman" w:cs="Times New Roman"/>
          <w:sz w:val="24"/>
          <w:szCs w:val="24"/>
          <w:lang w:val="en-US"/>
        </w:rPr>
      </w:pPr>
      <w:r w:rsidRPr="00947CC1">
        <w:rPr>
          <w:rFonts w:ascii="Times New Roman" w:hAnsi="Times New Roman" w:cs="Times New Roman"/>
          <w:sz w:val="24"/>
          <w:szCs w:val="24"/>
          <w:lang w:val="en-US"/>
        </w:rPr>
        <w:t xml:space="preserve">Keywords: Risk Analysis. Risk management. </w:t>
      </w:r>
      <w:r w:rsidRPr="00F83317">
        <w:rPr>
          <w:rFonts w:ascii="Times New Roman" w:hAnsi="Times New Roman" w:cs="Times New Roman"/>
          <w:sz w:val="24"/>
          <w:szCs w:val="24"/>
          <w:lang w:val="en-US"/>
        </w:rPr>
        <w:t xml:space="preserve">Coordinated Border Management. Human </w:t>
      </w:r>
      <w:r w:rsidR="000C4E03">
        <w:rPr>
          <w:rFonts w:ascii="Times New Roman" w:hAnsi="Times New Roman" w:cs="Times New Roman"/>
          <w:sz w:val="24"/>
          <w:szCs w:val="24"/>
          <w:lang w:val="en-US"/>
        </w:rPr>
        <w:t>R</w:t>
      </w:r>
      <w:r w:rsidRPr="00F83317">
        <w:rPr>
          <w:rFonts w:ascii="Times New Roman" w:hAnsi="Times New Roman" w:cs="Times New Roman"/>
          <w:sz w:val="24"/>
          <w:szCs w:val="24"/>
          <w:lang w:val="en-US"/>
        </w:rPr>
        <w:t>ights</w:t>
      </w:r>
      <w:r w:rsidR="00CF0270" w:rsidRPr="00F83317">
        <w:rPr>
          <w:rFonts w:ascii="Times New Roman" w:hAnsi="Times New Roman" w:cs="Times New Roman"/>
          <w:sz w:val="24"/>
          <w:szCs w:val="24"/>
          <w:lang w:val="en-US"/>
        </w:rPr>
        <w:t>.</w:t>
      </w:r>
    </w:p>
    <w:p w14:paraId="7EA7030A" w14:textId="77777777" w:rsidR="00370CF4" w:rsidRPr="00F83317" w:rsidRDefault="00370CF4" w:rsidP="00A42098">
      <w:pPr>
        <w:rPr>
          <w:rFonts w:ascii="Times New Roman" w:hAnsi="Times New Roman" w:cs="Times New Roman"/>
          <w:sz w:val="24"/>
          <w:szCs w:val="24"/>
          <w:lang w:val="en-US"/>
        </w:rPr>
      </w:pPr>
    </w:p>
    <w:p w14:paraId="0FDA55FB" w14:textId="77777777" w:rsidR="00370CF4" w:rsidRPr="00F83317" w:rsidRDefault="00370CF4" w:rsidP="00A42098">
      <w:pPr>
        <w:rPr>
          <w:rFonts w:ascii="Times New Roman" w:hAnsi="Times New Roman" w:cs="Times New Roman"/>
          <w:sz w:val="24"/>
          <w:szCs w:val="24"/>
          <w:lang w:val="en-US"/>
        </w:rPr>
      </w:pPr>
    </w:p>
    <w:p w14:paraId="02DF8D8B" w14:textId="77777777" w:rsidR="00370CF4" w:rsidRPr="00F83317" w:rsidRDefault="00370CF4" w:rsidP="00A42098">
      <w:pPr>
        <w:rPr>
          <w:rFonts w:ascii="Times New Roman" w:hAnsi="Times New Roman" w:cs="Times New Roman"/>
          <w:sz w:val="24"/>
          <w:szCs w:val="24"/>
          <w:lang w:val="en-US"/>
        </w:rPr>
      </w:pPr>
    </w:p>
    <w:p w14:paraId="715932FF" w14:textId="77777777" w:rsidR="00370CF4" w:rsidRPr="00F83317" w:rsidRDefault="00370CF4" w:rsidP="00A42098">
      <w:pPr>
        <w:rPr>
          <w:rFonts w:ascii="Times New Roman" w:hAnsi="Times New Roman" w:cs="Times New Roman"/>
          <w:sz w:val="24"/>
          <w:szCs w:val="24"/>
          <w:lang w:val="en-US"/>
        </w:rPr>
      </w:pPr>
    </w:p>
    <w:p w14:paraId="3DDAA88F" w14:textId="77777777" w:rsidR="00370CF4" w:rsidRDefault="00370CF4" w:rsidP="00A42098">
      <w:pPr>
        <w:rPr>
          <w:rFonts w:ascii="Times New Roman" w:hAnsi="Times New Roman" w:cs="Times New Roman"/>
          <w:sz w:val="24"/>
          <w:szCs w:val="24"/>
          <w:lang w:val="en-US"/>
        </w:rPr>
      </w:pPr>
    </w:p>
    <w:p w14:paraId="2A2595F5" w14:textId="77777777" w:rsidR="003209C8" w:rsidRPr="00F83317" w:rsidRDefault="003209C8" w:rsidP="00A42098">
      <w:pPr>
        <w:rPr>
          <w:rFonts w:ascii="Times New Roman" w:hAnsi="Times New Roman" w:cs="Times New Roman"/>
          <w:sz w:val="24"/>
          <w:szCs w:val="24"/>
          <w:lang w:val="en-US"/>
        </w:rPr>
      </w:pPr>
    </w:p>
    <w:p w14:paraId="646BA3B7" w14:textId="77777777" w:rsidR="00370CF4" w:rsidRPr="00F83317" w:rsidRDefault="00370CF4" w:rsidP="00A42098">
      <w:pPr>
        <w:rPr>
          <w:rFonts w:ascii="Times New Roman" w:hAnsi="Times New Roman" w:cs="Times New Roman"/>
          <w:sz w:val="24"/>
          <w:szCs w:val="24"/>
          <w:lang w:val="en-US"/>
        </w:rPr>
      </w:pPr>
    </w:p>
    <w:p w14:paraId="6422F47B" w14:textId="77777777" w:rsidR="00370CF4" w:rsidRPr="00F83317" w:rsidRDefault="00370CF4" w:rsidP="00A42098">
      <w:pPr>
        <w:rPr>
          <w:rFonts w:ascii="Times New Roman" w:hAnsi="Times New Roman" w:cs="Times New Roman"/>
          <w:sz w:val="24"/>
          <w:szCs w:val="24"/>
          <w:lang w:val="en-US"/>
        </w:rPr>
      </w:pPr>
    </w:p>
    <w:p w14:paraId="1489F96E" w14:textId="2086CEE0" w:rsidR="00370CF4" w:rsidRDefault="00370CF4" w:rsidP="00A42098">
      <w:pPr>
        <w:rPr>
          <w:rFonts w:ascii="Times New Roman" w:hAnsi="Times New Roman" w:cs="Times New Roman"/>
          <w:sz w:val="24"/>
          <w:szCs w:val="24"/>
          <w:lang w:val="en-US"/>
        </w:rPr>
      </w:pPr>
    </w:p>
    <w:p w14:paraId="6EBB19F3" w14:textId="77777777" w:rsidR="00994D2B" w:rsidRDefault="00994D2B" w:rsidP="00A42098">
      <w:pPr>
        <w:rPr>
          <w:rFonts w:ascii="Times New Roman" w:hAnsi="Times New Roman" w:cs="Times New Roman"/>
          <w:sz w:val="24"/>
          <w:szCs w:val="24"/>
          <w:lang w:val="en-US"/>
        </w:rPr>
      </w:pPr>
    </w:p>
    <w:p w14:paraId="55CDB360" w14:textId="019389A7" w:rsidR="00EE0C2F" w:rsidRPr="00F83317" w:rsidRDefault="00D4765E" w:rsidP="00A42098">
      <w:pPr>
        <w:rPr>
          <w:rFonts w:ascii="Times New Roman" w:hAnsi="Times New Roman" w:cs="Times New Roman"/>
          <w:b/>
          <w:sz w:val="24"/>
          <w:szCs w:val="24"/>
        </w:rPr>
      </w:pPr>
      <w:r w:rsidRPr="00F83317">
        <w:rPr>
          <w:rFonts w:ascii="Times New Roman" w:hAnsi="Times New Roman" w:cs="Times New Roman"/>
          <w:b/>
          <w:sz w:val="24"/>
          <w:szCs w:val="24"/>
        </w:rPr>
        <w:lastRenderedPageBreak/>
        <w:t>R</w:t>
      </w:r>
      <w:r w:rsidR="00176316" w:rsidRPr="00F83317">
        <w:rPr>
          <w:rFonts w:ascii="Times New Roman" w:hAnsi="Times New Roman" w:cs="Times New Roman"/>
          <w:b/>
          <w:sz w:val="24"/>
          <w:szCs w:val="24"/>
        </w:rPr>
        <w:t>eferências</w:t>
      </w:r>
      <w:r w:rsidR="00510416">
        <w:rPr>
          <w:rFonts w:ascii="Times New Roman" w:hAnsi="Times New Roman" w:cs="Times New Roman"/>
          <w:b/>
          <w:sz w:val="24"/>
          <w:szCs w:val="24"/>
        </w:rPr>
        <w:t xml:space="preserve"> Bibliográficas</w:t>
      </w:r>
    </w:p>
    <w:p w14:paraId="4A375802" w14:textId="48381413" w:rsidR="00D4765E" w:rsidRPr="00947CC1" w:rsidRDefault="00D4765E" w:rsidP="00A42098">
      <w:pPr>
        <w:rPr>
          <w:rFonts w:ascii="Times New Roman" w:hAnsi="Times New Roman" w:cs="Times New Roman"/>
          <w:sz w:val="24"/>
          <w:szCs w:val="24"/>
        </w:rPr>
      </w:pPr>
    </w:p>
    <w:p w14:paraId="339EC67A"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rPr>
        <w:t>ANDRADE</w:t>
      </w:r>
      <w:r w:rsidRPr="00947CC1">
        <w:rPr>
          <w:rFonts w:ascii="Times New Roman" w:hAnsi="Times New Roman" w:cs="Times New Roman"/>
          <w:noProof/>
          <w:sz w:val="24"/>
          <w:szCs w:val="24"/>
        </w:rPr>
        <w:t xml:space="preserve">, F. S. Análise de Riscos e a Atividade de Inteligência. </w:t>
      </w:r>
      <w:r w:rsidRPr="00947CC1">
        <w:rPr>
          <w:rFonts w:ascii="Times New Roman" w:hAnsi="Times New Roman" w:cs="Times New Roman"/>
          <w:b/>
          <w:noProof/>
          <w:sz w:val="24"/>
          <w:szCs w:val="24"/>
        </w:rPr>
        <w:t>Revista Brasileira de Ciências Policiais</w:t>
      </w:r>
      <w:r w:rsidRPr="00947CC1">
        <w:rPr>
          <w:rFonts w:ascii="Times New Roman" w:hAnsi="Times New Roman" w:cs="Times New Roman"/>
          <w:noProof/>
          <w:sz w:val="24"/>
          <w:szCs w:val="24"/>
        </w:rPr>
        <w:t xml:space="preserve">, v.8(2), p. 91-116, 2017. </w:t>
      </w:r>
      <w:r w:rsidRPr="00947CC1">
        <w:rPr>
          <w:rFonts w:ascii="Times New Roman" w:hAnsi="Times New Roman" w:cs="Times New Roman"/>
          <w:noProof/>
          <w:sz w:val="24"/>
          <w:szCs w:val="24"/>
          <w:lang w:val="en-US"/>
        </w:rPr>
        <w:t xml:space="preserve">DOI: </w:t>
      </w:r>
      <w:hyperlink r:id="rId13" w:history="1">
        <w:r w:rsidRPr="00947CC1">
          <w:rPr>
            <w:rFonts w:ascii="Times New Roman" w:hAnsi="Times New Roman" w:cs="Times New Roman"/>
            <w:noProof/>
            <w:sz w:val="24"/>
            <w:szCs w:val="24"/>
            <w:lang w:val="en-US"/>
          </w:rPr>
          <w:t>10.31412%2Frbcp.v8i2.462</w:t>
        </w:r>
      </w:hyperlink>
      <w:r w:rsidRPr="00947CC1">
        <w:rPr>
          <w:rFonts w:ascii="Times New Roman" w:hAnsi="Times New Roman" w:cs="Times New Roman"/>
          <w:noProof/>
          <w:sz w:val="24"/>
          <w:szCs w:val="24"/>
          <w:lang w:val="en-US"/>
        </w:rPr>
        <w:t>.</w:t>
      </w:r>
    </w:p>
    <w:p w14:paraId="6D30FACD"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AVEN</w:t>
      </w:r>
      <w:r w:rsidRPr="00947CC1">
        <w:rPr>
          <w:rFonts w:ascii="Times New Roman" w:hAnsi="Times New Roman" w:cs="Times New Roman"/>
          <w:noProof/>
          <w:sz w:val="24"/>
          <w:szCs w:val="24"/>
          <w:lang w:val="en-US"/>
        </w:rPr>
        <w:t xml:space="preserve">, T. Risk assessment and risk management: Review of recent advances on their foundation. </w:t>
      </w:r>
      <w:r w:rsidRPr="00947CC1">
        <w:rPr>
          <w:rFonts w:ascii="Times New Roman" w:hAnsi="Times New Roman" w:cs="Times New Roman"/>
          <w:b/>
          <w:noProof/>
          <w:sz w:val="24"/>
          <w:szCs w:val="24"/>
          <w:lang w:val="en-US"/>
        </w:rPr>
        <w:t>European Journal of Operational Research</w:t>
      </w:r>
      <w:r w:rsidRPr="00947CC1">
        <w:rPr>
          <w:rFonts w:ascii="Times New Roman" w:hAnsi="Times New Roman" w:cs="Times New Roman"/>
          <w:noProof/>
          <w:sz w:val="24"/>
          <w:szCs w:val="24"/>
          <w:lang w:val="en-US"/>
        </w:rPr>
        <w:t xml:space="preserve">. v. 253, p. 1-13, 2016. DOI: </w:t>
      </w:r>
      <w:hyperlink r:id="rId14" w:tgtFrame="_blank" w:history="1">
        <w:r w:rsidRPr="00947CC1">
          <w:rPr>
            <w:rFonts w:ascii="Times New Roman" w:hAnsi="Times New Roman" w:cs="Times New Roman"/>
            <w:noProof/>
            <w:sz w:val="24"/>
            <w:szCs w:val="24"/>
            <w:lang w:val="en-US"/>
          </w:rPr>
          <w:t>10.1016/j.ejor.2015.12.023</w:t>
        </w:r>
      </w:hyperlink>
    </w:p>
    <w:p w14:paraId="0B128B6E"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F356DD">
        <w:rPr>
          <w:rFonts w:ascii="Times New Roman" w:hAnsi="Times New Roman" w:cs="Times New Roman"/>
          <w:sz w:val="24"/>
          <w:szCs w:val="24"/>
          <w:lang w:val="es-419"/>
        </w:rPr>
        <w:t>AVEN</w:t>
      </w:r>
      <w:r w:rsidRPr="00F356DD">
        <w:rPr>
          <w:rFonts w:ascii="Times New Roman" w:hAnsi="Times New Roman" w:cs="Times New Roman"/>
          <w:noProof/>
          <w:sz w:val="24"/>
          <w:szCs w:val="24"/>
          <w:lang w:val="es-419"/>
        </w:rPr>
        <w:t xml:space="preserve">, TERJE et al. SRA Glossary. </w:t>
      </w:r>
      <w:r w:rsidRPr="00947CC1">
        <w:rPr>
          <w:rFonts w:ascii="Times New Roman" w:hAnsi="Times New Roman" w:cs="Times New Roman"/>
          <w:noProof/>
          <w:sz w:val="24"/>
          <w:szCs w:val="24"/>
          <w:lang w:val="en-US"/>
        </w:rPr>
        <w:t xml:space="preserve">Committee on Foundations of Risk Analysis. </w:t>
      </w:r>
      <w:r w:rsidRPr="00947CC1">
        <w:rPr>
          <w:rFonts w:ascii="Times New Roman" w:hAnsi="Times New Roman" w:cs="Times New Roman"/>
          <w:b/>
          <w:noProof/>
          <w:sz w:val="24"/>
          <w:szCs w:val="24"/>
          <w:lang w:val="en-US"/>
        </w:rPr>
        <w:t>Society of Risk Analysis</w:t>
      </w:r>
      <w:r w:rsidRPr="00947CC1">
        <w:rPr>
          <w:rFonts w:ascii="Times New Roman" w:hAnsi="Times New Roman" w:cs="Times New Roman"/>
          <w:noProof/>
          <w:sz w:val="24"/>
          <w:szCs w:val="24"/>
          <w:lang w:val="en-US"/>
        </w:rPr>
        <w:t>, London. 2015.</w:t>
      </w:r>
    </w:p>
    <w:p w14:paraId="617B9F4D" w14:textId="72FAC307" w:rsidR="007949BA" w:rsidRPr="00F83317" w:rsidRDefault="007949BA" w:rsidP="00406042">
      <w:pPr>
        <w:spacing w:before="100" w:afterLines="100" w:after="240" w:line="240" w:lineRule="auto"/>
        <w:rPr>
          <w:rFonts w:ascii="Times New Roman" w:hAnsi="Times New Roman" w:cs="Times New Roman"/>
          <w:noProof/>
          <w:sz w:val="24"/>
          <w:szCs w:val="24"/>
          <w:lang w:val="es-419"/>
        </w:rPr>
      </w:pPr>
      <w:r w:rsidRPr="00947CC1">
        <w:rPr>
          <w:rFonts w:ascii="Times New Roman" w:hAnsi="Times New Roman" w:cs="Times New Roman"/>
          <w:sz w:val="24"/>
          <w:szCs w:val="24"/>
          <w:lang w:val="en-US"/>
        </w:rPr>
        <w:t>AVEN</w:t>
      </w:r>
      <w:r w:rsidRPr="00947CC1">
        <w:rPr>
          <w:rFonts w:ascii="Times New Roman" w:hAnsi="Times New Roman" w:cs="Times New Roman"/>
          <w:noProof/>
          <w:sz w:val="24"/>
          <w:szCs w:val="24"/>
          <w:lang w:val="en-US"/>
        </w:rPr>
        <w:t>,</w:t>
      </w:r>
      <w:r w:rsidR="00C724CF" w:rsidRPr="00947CC1">
        <w:rPr>
          <w:rFonts w:ascii="Times New Roman" w:hAnsi="Times New Roman" w:cs="Times New Roman"/>
          <w:noProof/>
          <w:sz w:val="24"/>
          <w:szCs w:val="24"/>
          <w:lang w:val="en-US"/>
        </w:rPr>
        <w:t xml:space="preserve"> </w:t>
      </w:r>
      <w:r w:rsidRPr="00947CC1">
        <w:rPr>
          <w:rFonts w:ascii="Times New Roman" w:hAnsi="Times New Roman" w:cs="Times New Roman"/>
          <w:noProof/>
          <w:sz w:val="24"/>
          <w:szCs w:val="24"/>
          <w:lang w:val="en-US"/>
        </w:rPr>
        <w:t>T.;</w:t>
      </w:r>
      <w:r w:rsidR="00C724CF" w:rsidRPr="00947CC1">
        <w:rPr>
          <w:rFonts w:ascii="Times New Roman" w:hAnsi="Times New Roman" w:cs="Times New Roman"/>
          <w:noProof/>
          <w:sz w:val="24"/>
          <w:szCs w:val="24"/>
          <w:lang w:val="en-US"/>
        </w:rPr>
        <w:t xml:space="preserve"> </w:t>
      </w:r>
      <w:r w:rsidRPr="00947CC1">
        <w:rPr>
          <w:rFonts w:ascii="Times New Roman" w:hAnsi="Times New Roman" w:cs="Times New Roman"/>
          <w:noProof/>
          <w:sz w:val="24"/>
          <w:szCs w:val="24"/>
          <w:lang w:val="en-US"/>
        </w:rPr>
        <w:t>ZIO,</w:t>
      </w:r>
      <w:r w:rsidR="00C724CF" w:rsidRPr="00947CC1">
        <w:rPr>
          <w:rFonts w:ascii="Times New Roman" w:hAnsi="Times New Roman" w:cs="Times New Roman"/>
          <w:noProof/>
          <w:sz w:val="24"/>
          <w:szCs w:val="24"/>
          <w:lang w:val="en-US"/>
        </w:rPr>
        <w:t xml:space="preserve"> </w:t>
      </w:r>
      <w:r w:rsidRPr="00947CC1">
        <w:rPr>
          <w:rFonts w:ascii="Times New Roman" w:hAnsi="Times New Roman" w:cs="Times New Roman"/>
          <w:noProof/>
          <w:sz w:val="24"/>
          <w:szCs w:val="24"/>
          <w:lang w:val="en-US"/>
        </w:rPr>
        <w:t xml:space="preserve">E. Foundational issues in risk analysis. </w:t>
      </w:r>
      <w:r w:rsidRPr="00F83317">
        <w:rPr>
          <w:rFonts w:ascii="Times New Roman" w:hAnsi="Times New Roman" w:cs="Times New Roman"/>
          <w:b/>
          <w:noProof/>
          <w:sz w:val="24"/>
          <w:szCs w:val="24"/>
          <w:lang w:val="es-419"/>
        </w:rPr>
        <w:t>Risk Analysis</w:t>
      </w:r>
      <w:r w:rsidRPr="00F83317">
        <w:rPr>
          <w:rFonts w:ascii="Times New Roman" w:hAnsi="Times New Roman" w:cs="Times New Roman"/>
          <w:noProof/>
          <w:sz w:val="24"/>
          <w:szCs w:val="24"/>
          <w:lang w:val="es-419"/>
        </w:rPr>
        <w:t>, v. 34 (7), p.</w:t>
      </w:r>
      <w:r w:rsidR="001B5475" w:rsidRPr="00F83317">
        <w:rPr>
          <w:rFonts w:ascii="Times New Roman" w:hAnsi="Times New Roman" w:cs="Times New Roman"/>
          <w:noProof/>
          <w:sz w:val="24"/>
          <w:szCs w:val="24"/>
          <w:lang w:val="es-419"/>
        </w:rPr>
        <w:t xml:space="preserve"> </w:t>
      </w:r>
      <w:r w:rsidRPr="00F83317">
        <w:rPr>
          <w:rFonts w:ascii="Times New Roman" w:hAnsi="Times New Roman" w:cs="Times New Roman"/>
          <w:noProof/>
          <w:sz w:val="24"/>
          <w:szCs w:val="24"/>
          <w:lang w:val="es-419"/>
        </w:rPr>
        <w:t>1164-1172, 2014.</w:t>
      </w:r>
    </w:p>
    <w:p w14:paraId="5E9B2A7B" w14:textId="0F1CB835" w:rsidR="007949BA" w:rsidRPr="00F83317" w:rsidRDefault="007949BA" w:rsidP="00406042">
      <w:pPr>
        <w:spacing w:before="100" w:afterLines="100" w:after="240" w:line="240" w:lineRule="auto"/>
        <w:rPr>
          <w:rFonts w:ascii="Times New Roman" w:hAnsi="Times New Roman" w:cs="Times New Roman"/>
          <w:sz w:val="24"/>
          <w:szCs w:val="24"/>
          <w:lang w:val="es-419"/>
        </w:rPr>
      </w:pPr>
      <w:r w:rsidRPr="00F83317">
        <w:rPr>
          <w:rFonts w:ascii="Times New Roman" w:hAnsi="Times New Roman" w:cs="Times New Roman"/>
          <w:bCs/>
          <w:sz w:val="24"/>
          <w:szCs w:val="24"/>
          <w:lang w:val="es-419"/>
        </w:rPr>
        <w:t xml:space="preserve">Banco Interamericano de </w:t>
      </w:r>
      <w:proofErr w:type="spellStart"/>
      <w:r w:rsidRPr="00F83317">
        <w:rPr>
          <w:rFonts w:ascii="Times New Roman" w:hAnsi="Times New Roman" w:cs="Times New Roman"/>
          <w:bCs/>
          <w:sz w:val="24"/>
          <w:szCs w:val="24"/>
          <w:lang w:val="es-419"/>
        </w:rPr>
        <w:t>Desenvolvimento</w:t>
      </w:r>
      <w:proofErr w:type="spellEnd"/>
      <w:r w:rsidRPr="00F83317">
        <w:rPr>
          <w:rFonts w:ascii="Times New Roman" w:hAnsi="Times New Roman" w:cs="Times New Roman"/>
          <w:bCs/>
          <w:sz w:val="24"/>
          <w:szCs w:val="24"/>
          <w:lang w:val="es-419"/>
        </w:rPr>
        <w:t xml:space="preserve"> (BID): curso de </w:t>
      </w:r>
      <w:r w:rsidRPr="00F83317">
        <w:rPr>
          <w:rFonts w:ascii="Times New Roman" w:hAnsi="Times New Roman" w:cs="Times New Roman"/>
          <w:b/>
          <w:bCs/>
          <w:sz w:val="24"/>
          <w:szCs w:val="24"/>
          <w:lang w:val="es-419"/>
        </w:rPr>
        <w:t xml:space="preserve">Gestión Coordinada de las Migraciones </w:t>
      </w:r>
      <w:r w:rsidR="00425FF7" w:rsidRPr="00F83317">
        <w:rPr>
          <w:rFonts w:ascii="Times New Roman" w:hAnsi="Times New Roman" w:cs="Times New Roman"/>
          <w:b/>
          <w:bCs/>
          <w:sz w:val="24"/>
          <w:szCs w:val="24"/>
          <w:lang w:val="es-419"/>
        </w:rPr>
        <w:t xml:space="preserve">en </w:t>
      </w:r>
      <w:r w:rsidRPr="00F83317">
        <w:rPr>
          <w:rFonts w:ascii="Times New Roman" w:hAnsi="Times New Roman" w:cs="Times New Roman"/>
          <w:b/>
          <w:bCs/>
          <w:sz w:val="24"/>
          <w:szCs w:val="24"/>
          <w:lang w:val="es-419"/>
        </w:rPr>
        <w:t>Fronteras</w:t>
      </w:r>
      <w:r w:rsidRPr="00F83317">
        <w:rPr>
          <w:rFonts w:ascii="Times New Roman" w:hAnsi="Times New Roman" w:cs="Times New Roman"/>
          <w:bCs/>
          <w:sz w:val="24"/>
          <w:szCs w:val="24"/>
          <w:lang w:val="es-419"/>
        </w:rPr>
        <w:t>, Módulo 1, Ámbitos de Regulación.</w:t>
      </w:r>
    </w:p>
    <w:p w14:paraId="0AFBDCBD" w14:textId="656D831C" w:rsidR="00434183" w:rsidRPr="00947CC1" w:rsidRDefault="00434183" w:rsidP="00406042">
      <w:pPr>
        <w:spacing w:before="100" w:afterLines="100" w:after="240" w:line="240" w:lineRule="auto"/>
        <w:rPr>
          <w:rFonts w:ascii="Times New Roman" w:eastAsia="Times New Roman" w:hAnsi="Times New Roman" w:cs="Times New Roman"/>
          <w:sz w:val="24"/>
          <w:szCs w:val="24"/>
          <w:lang w:eastAsia="pt-BR"/>
        </w:rPr>
      </w:pPr>
      <w:bookmarkStart w:id="1" w:name="_Hlk73709332"/>
      <w:r w:rsidRPr="00947CC1">
        <w:rPr>
          <w:rFonts w:ascii="Times New Roman" w:eastAsia="Times New Roman" w:hAnsi="Times New Roman" w:cs="Times New Roman"/>
          <w:sz w:val="24"/>
          <w:szCs w:val="24"/>
          <w:lang w:eastAsia="pt-BR"/>
        </w:rPr>
        <w:t>BAENINGER, Rosana; CANALES, Alejandro (</w:t>
      </w:r>
      <w:proofErr w:type="spellStart"/>
      <w:r w:rsidRPr="00947CC1">
        <w:rPr>
          <w:rFonts w:ascii="Times New Roman" w:eastAsia="Times New Roman" w:hAnsi="Times New Roman" w:cs="Times New Roman"/>
          <w:sz w:val="24"/>
          <w:szCs w:val="24"/>
          <w:lang w:eastAsia="pt-BR"/>
        </w:rPr>
        <w:t>Coords</w:t>
      </w:r>
      <w:proofErr w:type="spellEnd"/>
      <w:r w:rsidRPr="00947CC1">
        <w:rPr>
          <w:rFonts w:ascii="Times New Roman" w:eastAsia="Times New Roman" w:hAnsi="Times New Roman" w:cs="Times New Roman"/>
          <w:sz w:val="24"/>
          <w:szCs w:val="24"/>
          <w:lang w:eastAsia="pt-BR"/>
        </w:rPr>
        <w:t xml:space="preserve">.). </w:t>
      </w:r>
      <w:r w:rsidRPr="00947CC1">
        <w:rPr>
          <w:rFonts w:ascii="Times New Roman" w:eastAsia="Times New Roman" w:hAnsi="Times New Roman" w:cs="Times New Roman"/>
          <w:b/>
          <w:sz w:val="24"/>
          <w:szCs w:val="24"/>
          <w:lang w:eastAsia="pt-BR"/>
        </w:rPr>
        <w:t>Migrações Fronteiriças</w:t>
      </w:r>
      <w:r w:rsidRPr="00947CC1">
        <w:rPr>
          <w:rFonts w:ascii="Times New Roman" w:eastAsia="Times New Roman" w:hAnsi="Times New Roman" w:cs="Times New Roman"/>
          <w:sz w:val="24"/>
          <w:szCs w:val="24"/>
          <w:lang w:eastAsia="pt-BR"/>
        </w:rPr>
        <w:t xml:space="preserve">. Campinas: Núcleo de Estudos de População “Elza </w:t>
      </w:r>
      <w:proofErr w:type="spellStart"/>
      <w:r w:rsidRPr="00947CC1">
        <w:rPr>
          <w:rFonts w:ascii="Times New Roman" w:eastAsia="Times New Roman" w:hAnsi="Times New Roman" w:cs="Times New Roman"/>
          <w:sz w:val="24"/>
          <w:szCs w:val="24"/>
          <w:lang w:eastAsia="pt-BR"/>
        </w:rPr>
        <w:t>Berquó</w:t>
      </w:r>
      <w:proofErr w:type="spellEnd"/>
      <w:r w:rsidRPr="00947CC1">
        <w:rPr>
          <w:rFonts w:ascii="Times New Roman" w:eastAsia="Times New Roman" w:hAnsi="Times New Roman" w:cs="Times New Roman"/>
          <w:sz w:val="24"/>
          <w:szCs w:val="24"/>
          <w:lang w:eastAsia="pt-BR"/>
        </w:rPr>
        <w:t>” –</w:t>
      </w:r>
      <w:proofErr w:type="spellStart"/>
      <w:r w:rsidRPr="00947CC1">
        <w:rPr>
          <w:rFonts w:ascii="Times New Roman" w:eastAsia="Times New Roman" w:hAnsi="Times New Roman" w:cs="Times New Roman"/>
          <w:sz w:val="24"/>
          <w:szCs w:val="24"/>
          <w:lang w:eastAsia="pt-BR"/>
        </w:rPr>
        <w:t>Nepo</w:t>
      </w:r>
      <w:proofErr w:type="spellEnd"/>
      <w:r w:rsidRPr="00947CC1">
        <w:rPr>
          <w:rFonts w:ascii="Times New Roman" w:eastAsia="Times New Roman" w:hAnsi="Times New Roman" w:cs="Times New Roman"/>
          <w:sz w:val="24"/>
          <w:szCs w:val="24"/>
          <w:lang w:eastAsia="pt-BR"/>
        </w:rPr>
        <w:t xml:space="preserve">/Unicamp, 2018. Disponível em: &lt;https://www.nepo.unicamp.br/publicacoes/livros/mig_fronteiricas.pdf&gt;. Acesso em </w:t>
      </w:r>
      <w:r w:rsidR="00547E60">
        <w:rPr>
          <w:rFonts w:ascii="Times New Roman" w:eastAsia="Times New Roman" w:hAnsi="Times New Roman" w:cs="Times New Roman"/>
          <w:sz w:val="24"/>
          <w:szCs w:val="24"/>
          <w:lang w:eastAsia="pt-BR"/>
        </w:rPr>
        <w:t>01</w:t>
      </w:r>
      <w:r w:rsidRPr="00947CC1">
        <w:rPr>
          <w:rFonts w:ascii="Times New Roman" w:eastAsia="Times New Roman" w:hAnsi="Times New Roman" w:cs="Times New Roman"/>
          <w:sz w:val="24"/>
          <w:szCs w:val="24"/>
          <w:lang w:eastAsia="pt-BR"/>
        </w:rPr>
        <w:t xml:space="preserve"> ju</w:t>
      </w:r>
      <w:r w:rsidR="00547E60">
        <w:rPr>
          <w:rFonts w:ascii="Times New Roman" w:eastAsia="Times New Roman" w:hAnsi="Times New Roman" w:cs="Times New Roman"/>
          <w:sz w:val="24"/>
          <w:szCs w:val="24"/>
          <w:lang w:eastAsia="pt-BR"/>
        </w:rPr>
        <w:t>n</w:t>
      </w:r>
      <w:r w:rsidRPr="00947CC1">
        <w:rPr>
          <w:rFonts w:ascii="Times New Roman" w:eastAsia="Times New Roman" w:hAnsi="Times New Roman" w:cs="Times New Roman"/>
          <w:sz w:val="24"/>
          <w:szCs w:val="24"/>
          <w:lang w:eastAsia="pt-BR"/>
        </w:rPr>
        <w:t>. 202</w:t>
      </w:r>
      <w:r w:rsidR="00547E60">
        <w:rPr>
          <w:rFonts w:ascii="Times New Roman" w:eastAsia="Times New Roman" w:hAnsi="Times New Roman" w:cs="Times New Roman"/>
          <w:sz w:val="24"/>
          <w:szCs w:val="24"/>
          <w:lang w:eastAsia="pt-BR"/>
        </w:rPr>
        <w:t>1</w:t>
      </w:r>
      <w:r w:rsidRPr="00947CC1">
        <w:rPr>
          <w:rFonts w:ascii="Times New Roman" w:eastAsia="Times New Roman" w:hAnsi="Times New Roman" w:cs="Times New Roman"/>
          <w:sz w:val="24"/>
          <w:szCs w:val="24"/>
          <w:lang w:eastAsia="pt-BR"/>
        </w:rPr>
        <w:t>.</w:t>
      </w:r>
    </w:p>
    <w:bookmarkEnd w:id="1"/>
    <w:p w14:paraId="7A01D13B" w14:textId="77777777" w:rsidR="00CA54DC" w:rsidRPr="00947CC1" w:rsidRDefault="00CA54DC" w:rsidP="00CA54DC">
      <w:pPr>
        <w:spacing w:before="100" w:afterLines="100" w:after="240" w:line="240" w:lineRule="auto"/>
        <w:rPr>
          <w:rFonts w:ascii="Times New Roman" w:eastAsia="Times New Roman" w:hAnsi="Times New Roman" w:cs="Times New Roman"/>
          <w:sz w:val="24"/>
          <w:szCs w:val="24"/>
          <w:lang w:eastAsia="pt-BR"/>
        </w:rPr>
      </w:pPr>
      <w:r w:rsidRPr="00947CC1">
        <w:rPr>
          <w:rFonts w:ascii="Times New Roman" w:eastAsia="Times New Roman" w:hAnsi="Times New Roman" w:cs="Times New Roman"/>
          <w:sz w:val="24"/>
          <w:szCs w:val="24"/>
          <w:lang w:eastAsia="pt-BR"/>
        </w:rPr>
        <w:t xml:space="preserve">BAENINGER, Rosana; </w:t>
      </w:r>
      <w:r>
        <w:rPr>
          <w:rFonts w:ascii="Times New Roman" w:eastAsia="Times New Roman" w:hAnsi="Times New Roman" w:cs="Times New Roman"/>
          <w:sz w:val="24"/>
          <w:szCs w:val="24"/>
          <w:lang w:eastAsia="pt-BR"/>
        </w:rPr>
        <w:t>VEDOVATO, Luís Renato</w:t>
      </w:r>
      <w:r w:rsidRPr="00947CC1">
        <w:rPr>
          <w:rFonts w:ascii="Times New Roman" w:eastAsia="Times New Roman" w:hAnsi="Times New Roman" w:cs="Times New Roman"/>
          <w:sz w:val="24"/>
          <w:szCs w:val="24"/>
          <w:lang w:eastAsia="pt-BR"/>
        </w:rPr>
        <w:t xml:space="preserve"> (</w:t>
      </w:r>
      <w:proofErr w:type="spellStart"/>
      <w:r w:rsidRPr="00947CC1">
        <w:rPr>
          <w:rFonts w:ascii="Times New Roman" w:eastAsia="Times New Roman" w:hAnsi="Times New Roman" w:cs="Times New Roman"/>
          <w:sz w:val="24"/>
          <w:szCs w:val="24"/>
          <w:lang w:eastAsia="pt-BR"/>
        </w:rPr>
        <w:t>Coords</w:t>
      </w:r>
      <w:proofErr w:type="spellEnd"/>
      <w:r w:rsidRPr="00947CC1">
        <w:rPr>
          <w:rFonts w:ascii="Times New Roman" w:eastAsia="Times New Roman" w:hAnsi="Times New Roman" w:cs="Times New Roman"/>
          <w:sz w:val="24"/>
          <w:szCs w:val="24"/>
          <w:lang w:eastAsia="pt-BR"/>
        </w:rPr>
        <w:t xml:space="preserve">.). </w:t>
      </w:r>
      <w:r w:rsidRPr="00947CC1">
        <w:rPr>
          <w:rFonts w:ascii="Times New Roman" w:eastAsia="Times New Roman" w:hAnsi="Times New Roman" w:cs="Times New Roman"/>
          <w:b/>
          <w:sz w:val="24"/>
          <w:szCs w:val="24"/>
          <w:lang w:eastAsia="pt-BR"/>
        </w:rPr>
        <w:t xml:space="preserve">Migrações </w:t>
      </w:r>
      <w:r>
        <w:rPr>
          <w:rFonts w:ascii="Times New Roman" w:eastAsia="Times New Roman" w:hAnsi="Times New Roman" w:cs="Times New Roman"/>
          <w:b/>
          <w:sz w:val="24"/>
          <w:szCs w:val="24"/>
          <w:lang w:eastAsia="pt-BR"/>
        </w:rPr>
        <w:t>Internacionais e a pandemia de Covid-19</w:t>
      </w:r>
      <w:r w:rsidRPr="00947CC1">
        <w:rPr>
          <w:rFonts w:ascii="Times New Roman" w:eastAsia="Times New Roman" w:hAnsi="Times New Roman" w:cs="Times New Roman"/>
          <w:sz w:val="24"/>
          <w:szCs w:val="24"/>
          <w:lang w:eastAsia="pt-BR"/>
        </w:rPr>
        <w:t xml:space="preserve">. Campinas: Núcleo de Estudos de População “Elza </w:t>
      </w:r>
      <w:proofErr w:type="spellStart"/>
      <w:r w:rsidRPr="00947CC1">
        <w:rPr>
          <w:rFonts w:ascii="Times New Roman" w:eastAsia="Times New Roman" w:hAnsi="Times New Roman" w:cs="Times New Roman"/>
          <w:sz w:val="24"/>
          <w:szCs w:val="24"/>
          <w:lang w:eastAsia="pt-BR"/>
        </w:rPr>
        <w:t>Berquó</w:t>
      </w:r>
      <w:proofErr w:type="spellEnd"/>
      <w:r w:rsidRPr="00947CC1">
        <w:rPr>
          <w:rFonts w:ascii="Times New Roman" w:eastAsia="Times New Roman" w:hAnsi="Times New Roman" w:cs="Times New Roman"/>
          <w:sz w:val="24"/>
          <w:szCs w:val="24"/>
          <w:lang w:eastAsia="pt-BR"/>
        </w:rPr>
        <w:t>” –</w:t>
      </w:r>
      <w:proofErr w:type="spellStart"/>
      <w:r w:rsidRPr="00947CC1">
        <w:rPr>
          <w:rFonts w:ascii="Times New Roman" w:eastAsia="Times New Roman" w:hAnsi="Times New Roman" w:cs="Times New Roman"/>
          <w:sz w:val="24"/>
          <w:szCs w:val="24"/>
          <w:lang w:eastAsia="pt-BR"/>
        </w:rPr>
        <w:t>Nepo</w:t>
      </w:r>
      <w:proofErr w:type="spellEnd"/>
      <w:r w:rsidRPr="00947CC1">
        <w:rPr>
          <w:rFonts w:ascii="Times New Roman" w:eastAsia="Times New Roman" w:hAnsi="Times New Roman" w:cs="Times New Roman"/>
          <w:sz w:val="24"/>
          <w:szCs w:val="24"/>
          <w:lang w:eastAsia="pt-BR"/>
        </w:rPr>
        <w:t>/Unicamp, 20</w:t>
      </w:r>
      <w:r>
        <w:rPr>
          <w:rFonts w:ascii="Times New Roman" w:eastAsia="Times New Roman" w:hAnsi="Times New Roman" w:cs="Times New Roman"/>
          <w:sz w:val="24"/>
          <w:szCs w:val="24"/>
          <w:lang w:eastAsia="pt-BR"/>
        </w:rPr>
        <w:t>20</w:t>
      </w:r>
      <w:r w:rsidRPr="00947CC1">
        <w:rPr>
          <w:rFonts w:ascii="Times New Roman" w:eastAsia="Times New Roman" w:hAnsi="Times New Roman" w:cs="Times New Roman"/>
          <w:sz w:val="24"/>
          <w:szCs w:val="24"/>
          <w:lang w:eastAsia="pt-BR"/>
        </w:rPr>
        <w:t>. Disponível em: &lt;</w:t>
      </w:r>
      <w:r w:rsidRPr="00457715">
        <w:rPr>
          <w:rFonts w:ascii="Times New Roman" w:eastAsia="Times New Roman" w:hAnsi="Times New Roman" w:cs="Times New Roman"/>
          <w:sz w:val="24"/>
          <w:szCs w:val="24"/>
          <w:lang w:eastAsia="pt-BR"/>
        </w:rPr>
        <w:t>https://www.nepo.unicamp.br/publicacoes/livros/miginternacional/miginternacional.pdf</w:t>
      </w:r>
      <w:r w:rsidRPr="00947CC1">
        <w:rPr>
          <w:rFonts w:ascii="Times New Roman" w:eastAsia="Times New Roman" w:hAnsi="Times New Roman" w:cs="Times New Roman"/>
          <w:sz w:val="24"/>
          <w:szCs w:val="24"/>
          <w:lang w:eastAsia="pt-BR"/>
        </w:rPr>
        <w:t xml:space="preserve">&gt;. Acesso em </w:t>
      </w:r>
      <w:r>
        <w:rPr>
          <w:rFonts w:ascii="Times New Roman" w:eastAsia="Times New Roman" w:hAnsi="Times New Roman" w:cs="Times New Roman"/>
          <w:sz w:val="24"/>
          <w:szCs w:val="24"/>
          <w:lang w:eastAsia="pt-BR"/>
        </w:rPr>
        <w:t>04</w:t>
      </w:r>
      <w:r w:rsidRPr="00947CC1">
        <w:rPr>
          <w:rFonts w:ascii="Times New Roman" w:eastAsia="Times New Roman" w:hAnsi="Times New Roman" w:cs="Times New Roman"/>
          <w:sz w:val="24"/>
          <w:szCs w:val="24"/>
          <w:lang w:eastAsia="pt-BR"/>
        </w:rPr>
        <w:t xml:space="preserve"> ju</w:t>
      </w:r>
      <w:r>
        <w:rPr>
          <w:rFonts w:ascii="Times New Roman" w:eastAsia="Times New Roman" w:hAnsi="Times New Roman" w:cs="Times New Roman"/>
          <w:sz w:val="24"/>
          <w:szCs w:val="24"/>
          <w:lang w:eastAsia="pt-BR"/>
        </w:rPr>
        <w:t>n</w:t>
      </w:r>
      <w:r w:rsidRPr="00947CC1">
        <w:rPr>
          <w:rFonts w:ascii="Times New Roman" w:eastAsia="Times New Roman" w:hAnsi="Times New Roman" w:cs="Times New Roman"/>
          <w:sz w:val="24"/>
          <w:szCs w:val="24"/>
          <w:lang w:eastAsia="pt-BR"/>
        </w:rPr>
        <w:t>. 202</w:t>
      </w:r>
      <w:r>
        <w:rPr>
          <w:rFonts w:ascii="Times New Roman" w:eastAsia="Times New Roman" w:hAnsi="Times New Roman" w:cs="Times New Roman"/>
          <w:sz w:val="24"/>
          <w:szCs w:val="24"/>
          <w:lang w:eastAsia="pt-BR"/>
        </w:rPr>
        <w:t>1</w:t>
      </w:r>
      <w:r w:rsidRPr="00947CC1">
        <w:rPr>
          <w:rFonts w:ascii="Times New Roman" w:eastAsia="Times New Roman" w:hAnsi="Times New Roman" w:cs="Times New Roman"/>
          <w:sz w:val="24"/>
          <w:szCs w:val="24"/>
          <w:lang w:eastAsia="pt-BR"/>
        </w:rPr>
        <w:t>.</w:t>
      </w:r>
    </w:p>
    <w:p w14:paraId="01B9A4E7" w14:textId="0C3AE852" w:rsidR="007949BA" w:rsidRDefault="007949BA" w:rsidP="00406042">
      <w:pPr>
        <w:spacing w:before="100" w:afterLines="100" w:after="240" w:line="240" w:lineRule="auto"/>
        <w:rPr>
          <w:rFonts w:ascii="Times New Roman" w:hAnsi="Times New Roman" w:cs="Times New Roman"/>
          <w:noProof/>
          <w:sz w:val="24"/>
          <w:szCs w:val="24"/>
        </w:rPr>
      </w:pPr>
      <w:r w:rsidRPr="00947CC1">
        <w:rPr>
          <w:rFonts w:ascii="Times New Roman" w:hAnsi="Times New Roman" w:cs="Times New Roman"/>
          <w:sz w:val="24"/>
          <w:szCs w:val="24"/>
        </w:rPr>
        <w:t>BRASIL</w:t>
      </w:r>
      <w:r w:rsidRPr="00947CC1">
        <w:rPr>
          <w:rFonts w:ascii="Times New Roman" w:hAnsi="Times New Roman" w:cs="Times New Roman"/>
          <w:noProof/>
          <w:sz w:val="24"/>
          <w:szCs w:val="24"/>
        </w:rPr>
        <w:t xml:space="preserve">. Constituição da República Federativa do Brasil de 1988: texto constitucional promulgado em 5 de outubro de 1988, com as alterações determinadas pelas Emendas Constitucionais de Revisão no 1 a 6/94, pelas Emendas Constitucionais no 1/92 a 99/2017. Brasília/DF: Senado Federal, Coordenação de Edições Técnicas, 2017. </w:t>
      </w:r>
    </w:p>
    <w:p w14:paraId="2580F067" w14:textId="77777777" w:rsidR="004B601E" w:rsidRPr="00FC321F" w:rsidRDefault="004B601E" w:rsidP="004B601E">
      <w:pPr>
        <w:spacing w:before="100" w:afterLines="100" w:after="24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BRASIL; OIM. </w:t>
      </w:r>
      <w:r w:rsidRPr="00FC321F">
        <w:rPr>
          <w:rFonts w:ascii="Times New Roman" w:hAnsi="Times New Roman" w:cs="Times New Roman"/>
          <w:b/>
          <w:noProof/>
          <w:sz w:val="24"/>
          <w:szCs w:val="24"/>
        </w:rPr>
        <w:t>Guia de Interiorização 2021 - Deslocamento voluntário de refugiados e migrantes</w:t>
      </w:r>
      <w:r w:rsidRPr="004B601E">
        <w:rPr>
          <w:rFonts w:ascii="Times New Roman" w:hAnsi="Times New Roman" w:cs="Times New Roman"/>
          <w:b/>
          <w:noProof/>
          <w:sz w:val="24"/>
          <w:szCs w:val="24"/>
        </w:rPr>
        <w:t>. Diretrizes e procedimentos</w:t>
      </w:r>
      <w:r w:rsidRPr="002E64D4">
        <w:rPr>
          <w:rFonts w:ascii="Times New Roman" w:hAnsi="Times New Roman" w:cs="Times New Roman"/>
          <w:noProof/>
          <w:sz w:val="24"/>
          <w:szCs w:val="24"/>
        </w:rPr>
        <w:t xml:space="preserve">. </w:t>
      </w:r>
      <w:r>
        <w:rPr>
          <w:rFonts w:ascii="Times New Roman" w:hAnsi="Times New Roman" w:cs="Times New Roman"/>
          <w:noProof/>
          <w:sz w:val="24"/>
          <w:szCs w:val="24"/>
        </w:rPr>
        <w:t>Brasília: OIM, 2021. Disponível em: &lt;</w:t>
      </w:r>
      <w:r w:rsidRPr="002E64D4">
        <w:rPr>
          <w:rFonts w:ascii="Times New Roman" w:hAnsi="Times New Roman" w:cs="Times New Roman"/>
          <w:noProof/>
          <w:sz w:val="24"/>
          <w:szCs w:val="24"/>
        </w:rPr>
        <w:t>https://brazil.iom.int/sites/brazil/files/Publications/Guiadedeslocamentosassistidosweb_0.p</w:t>
      </w:r>
      <w:r>
        <w:rPr>
          <w:rFonts w:ascii="Times New Roman" w:hAnsi="Times New Roman" w:cs="Times New Roman"/>
          <w:noProof/>
          <w:sz w:val="24"/>
          <w:szCs w:val="24"/>
        </w:rPr>
        <w:t>&gt;. Acesso em 04 jun. 2021.</w:t>
      </w:r>
    </w:p>
    <w:p w14:paraId="4492D79A"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COMMITTEE</w:t>
      </w:r>
      <w:r w:rsidRPr="00947CC1">
        <w:rPr>
          <w:rFonts w:ascii="Times New Roman" w:hAnsi="Times New Roman" w:cs="Times New Roman"/>
          <w:noProof/>
          <w:sz w:val="24"/>
          <w:szCs w:val="24"/>
          <w:lang w:val="en-US"/>
        </w:rPr>
        <w:t xml:space="preserve"> OF SPONSORING ORGANIZATIONS OF THE TREADWAY COMISSION – COSO. </w:t>
      </w:r>
      <w:r w:rsidRPr="00947CC1">
        <w:rPr>
          <w:rFonts w:ascii="Times New Roman" w:hAnsi="Times New Roman" w:cs="Times New Roman"/>
          <w:b/>
          <w:noProof/>
          <w:sz w:val="24"/>
          <w:szCs w:val="24"/>
          <w:lang w:val="en-US"/>
        </w:rPr>
        <w:t>Enterprise Risk Management – Integrated Framework</w:t>
      </w:r>
      <w:r w:rsidRPr="00947CC1">
        <w:rPr>
          <w:rFonts w:ascii="Times New Roman" w:hAnsi="Times New Roman" w:cs="Times New Roman"/>
          <w:noProof/>
          <w:sz w:val="24"/>
          <w:szCs w:val="24"/>
          <w:lang w:val="en-US"/>
        </w:rPr>
        <w:t>, 2017.</w:t>
      </w:r>
    </w:p>
    <w:p w14:paraId="5065FE98"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COMMITTEE</w:t>
      </w:r>
      <w:r w:rsidRPr="00947CC1">
        <w:rPr>
          <w:rFonts w:ascii="Times New Roman" w:hAnsi="Times New Roman" w:cs="Times New Roman"/>
          <w:noProof/>
          <w:sz w:val="24"/>
          <w:szCs w:val="24"/>
          <w:lang w:val="en-US"/>
        </w:rPr>
        <w:t xml:space="preserve"> OF SPONSORING ORGANIZATIONS OF THE TREADWAY COMISSION – COSO. </w:t>
      </w:r>
      <w:r w:rsidRPr="00947CC1">
        <w:rPr>
          <w:rFonts w:ascii="Times New Roman" w:hAnsi="Times New Roman" w:cs="Times New Roman"/>
          <w:b/>
          <w:noProof/>
          <w:sz w:val="24"/>
          <w:szCs w:val="24"/>
          <w:lang w:val="en-US"/>
        </w:rPr>
        <w:t>Enterprise Risk Management – Integrated Framework</w:t>
      </w:r>
      <w:r w:rsidRPr="00947CC1">
        <w:rPr>
          <w:rFonts w:ascii="Times New Roman" w:hAnsi="Times New Roman" w:cs="Times New Roman"/>
          <w:noProof/>
          <w:sz w:val="24"/>
          <w:szCs w:val="24"/>
          <w:lang w:val="en-US"/>
        </w:rPr>
        <w:t xml:space="preserve"> (Executive Summary), 2013.</w:t>
      </w:r>
    </w:p>
    <w:p w14:paraId="73E4EA47"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COMMITTEE</w:t>
      </w:r>
      <w:r w:rsidRPr="00947CC1">
        <w:rPr>
          <w:rFonts w:ascii="Times New Roman" w:hAnsi="Times New Roman" w:cs="Times New Roman"/>
          <w:noProof/>
          <w:sz w:val="24"/>
          <w:szCs w:val="24"/>
          <w:lang w:val="en-US"/>
        </w:rPr>
        <w:t xml:space="preserve"> OF SPONSORING ORGANIZATIONS OF THE TREADWAY COMMISSION – COSO. </w:t>
      </w:r>
      <w:r w:rsidRPr="00947CC1">
        <w:rPr>
          <w:rFonts w:ascii="Times New Roman" w:hAnsi="Times New Roman" w:cs="Times New Roman"/>
          <w:b/>
          <w:noProof/>
          <w:sz w:val="24"/>
          <w:szCs w:val="24"/>
          <w:lang w:val="en-US"/>
        </w:rPr>
        <w:t>Gerenciamento de Riscos Corporativos – Estrutura Integrada</w:t>
      </w:r>
      <w:r w:rsidRPr="00947CC1">
        <w:rPr>
          <w:rFonts w:ascii="Times New Roman" w:hAnsi="Times New Roman" w:cs="Times New Roman"/>
          <w:noProof/>
          <w:sz w:val="24"/>
          <w:szCs w:val="24"/>
          <w:lang w:val="en-US"/>
        </w:rPr>
        <w:t>, 1992.</w:t>
      </w:r>
    </w:p>
    <w:p w14:paraId="2FFC9690"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COMMITTEE</w:t>
      </w:r>
      <w:r w:rsidRPr="00947CC1">
        <w:rPr>
          <w:rFonts w:ascii="Times New Roman" w:hAnsi="Times New Roman" w:cs="Times New Roman"/>
          <w:noProof/>
          <w:sz w:val="24"/>
          <w:szCs w:val="24"/>
          <w:lang w:val="en-US"/>
        </w:rPr>
        <w:t xml:space="preserve"> OF SPONSORING ORGANIZATIONS OF THE TREADWAY COMMISSION – COSO. </w:t>
      </w:r>
      <w:r w:rsidRPr="00947CC1">
        <w:rPr>
          <w:rFonts w:ascii="Times New Roman" w:hAnsi="Times New Roman" w:cs="Times New Roman"/>
          <w:b/>
          <w:noProof/>
          <w:sz w:val="24"/>
          <w:szCs w:val="24"/>
          <w:lang w:val="en-US"/>
        </w:rPr>
        <w:t>The 2013 COSO framework &amp; SOX compliance: one approach to an effective transition</w:t>
      </w:r>
      <w:r w:rsidRPr="00947CC1">
        <w:rPr>
          <w:rFonts w:ascii="Times New Roman" w:hAnsi="Times New Roman" w:cs="Times New Roman"/>
          <w:noProof/>
          <w:sz w:val="24"/>
          <w:szCs w:val="24"/>
          <w:lang w:val="en-US"/>
        </w:rPr>
        <w:t>, 2013.</w:t>
      </w:r>
    </w:p>
    <w:p w14:paraId="34654822" w14:textId="495E32D9" w:rsidR="00A85348" w:rsidRDefault="00A85348" w:rsidP="00406042">
      <w:pPr>
        <w:spacing w:before="100" w:afterLines="100" w:after="240" w:line="240" w:lineRule="auto"/>
        <w:rPr>
          <w:rFonts w:ascii="Times New Roman" w:eastAsia="Times New Roman" w:hAnsi="Times New Roman" w:cs="Times New Roman"/>
          <w:sz w:val="24"/>
          <w:szCs w:val="24"/>
          <w:lang w:eastAsia="pt-BR"/>
        </w:rPr>
      </w:pPr>
      <w:r w:rsidRPr="005B3871">
        <w:rPr>
          <w:rFonts w:ascii="Times New Roman" w:eastAsia="Times New Roman" w:hAnsi="Times New Roman" w:cs="Times New Roman"/>
          <w:sz w:val="24"/>
          <w:szCs w:val="24"/>
          <w:lang w:eastAsia="pt-BR"/>
        </w:rPr>
        <w:t xml:space="preserve">CORREIA, </w:t>
      </w:r>
      <w:proofErr w:type="spellStart"/>
      <w:r w:rsidRPr="005B3871">
        <w:rPr>
          <w:rFonts w:ascii="Times New Roman" w:eastAsia="Times New Roman" w:hAnsi="Times New Roman" w:cs="Times New Roman"/>
          <w:sz w:val="24"/>
          <w:szCs w:val="24"/>
          <w:lang w:eastAsia="pt-BR"/>
        </w:rPr>
        <w:t>Theresa</w:t>
      </w:r>
      <w:proofErr w:type="spellEnd"/>
      <w:r w:rsidRPr="005B3871">
        <w:rPr>
          <w:rFonts w:ascii="Times New Roman" w:eastAsia="Times New Roman" w:hAnsi="Times New Roman" w:cs="Times New Roman"/>
          <w:sz w:val="24"/>
          <w:szCs w:val="24"/>
          <w:lang w:eastAsia="pt-BR"/>
        </w:rPr>
        <w:t xml:space="preserve"> Rachel Couto. </w:t>
      </w:r>
      <w:r w:rsidRPr="00DD049E">
        <w:rPr>
          <w:rFonts w:ascii="Times New Roman" w:eastAsia="Times New Roman" w:hAnsi="Times New Roman" w:cs="Times New Roman"/>
          <w:b/>
          <w:sz w:val="24"/>
          <w:szCs w:val="24"/>
          <w:lang w:eastAsia="pt-BR"/>
        </w:rPr>
        <w:t>Globalização, migração internacional e Direitos Humanos</w:t>
      </w:r>
      <w:r w:rsidRPr="005B3871">
        <w:rPr>
          <w:rFonts w:ascii="Times New Roman" w:eastAsia="Times New Roman" w:hAnsi="Times New Roman" w:cs="Times New Roman"/>
          <w:sz w:val="24"/>
          <w:szCs w:val="24"/>
          <w:lang w:eastAsia="pt-BR"/>
        </w:rPr>
        <w:t xml:space="preserve">. In: </w:t>
      </w:r>
      <w:proofErr w:type="spellStart"/>
      <w:r w:rsidRPr="005B3871">
        <w:rPr>
          <w:rFonts w:ascii="Times New Roman" w:eastAsia="Times New Roman" w:hAnsi="Times New Roman" w:cs="Times New Roman"/>
          <w:sz w:val="24"/>
          <w:szCs w:val="24"/>
          <w:lang w:eastAsia="pt-BR"/>
        </w:rPr>
        <w:t>Conpedi</w:t>
      </w:r>
      <w:proofErr w:type="spellEnd"/>
      <w:r w:rsidRPr="005B3871">
        <w:rPr>
          <w:rFonts w:ascii="Times New Roman" w:eastAsia="Times New Roman" w:hAnsi="Times New Roman" w:cs="Times New Roman"/>
          <w:sz w:val="24"/>
          <w:szCs w:val="24"/>
          <w:lang w:eastAsia="pt-BR"/>
        </w:rPr>
        <w:t xml:space="preserve">. (Org.). XVIII Congresso Nacional do </w:t>
      </w:r>
      <w:proofErr w:type="spellStart"/>
      <w:r w:rsidRPr="005B3871">
        <w:rPr>
          <w:rFonts w:ascii="Times New Roman" w:eastAsia="Times New Roman" w:hAnsi="Times New Roman" w:cs="Times New Roman"/>
          <w:sz w:val="24"/>
          <w:szCs w:val="24"/>
          <w:lang w:eastAsia="pt-BR"/>
        </w:rPr>
        <w:t>Conpedi</w:t>
      </w:r>
      <w:proofErr w:type="spellEnd"/>
      <w:r w:rsidRPr="005B3871">
        <w:rPr>
          <w:rFonts w:ascii="Times New Roman" w:eastAsia="Times New Roman" w:hAnsi="Times New Roman" w:cs="Times New Roman"/>
          <w:sz w:val="24"/>
          <w:szCs w:val="24"/>
          <w:lang w:eastAsia="pt-BR"/>
        </w:rPr>
        <w:t>. 1ed.</w:t>
      </w:r>
      <w:r>
        <w:rPr>
          <w:rFonts w:ascii="Times New Roman" w:eastAsia="Times New Roman" w:hAnsi="Times New Roman" w:cs="Times New Roman"/>
          <w:sz w:val="24"/>
          <w:szCs w:val="24"/>
          <w:lang w:eastAsia="pt-BR"/>
        </w:rPr>
        <w:t xml:space="preserve"> </w:t>
      </w:r>
      <w:r w:rsidRPr="005B3871">
        <w:rPr>
          <w:rFonts w:ascii="Times New Roman" w:eastAsia="Times New Roman" w:hAnsi="Times New Roman" w:cs="Times New Roman"/>
          <w:sz w:val="24"/>
          <w:szCs w:val="24"/>
          <w:lang w:eastAsia="pt-BR"/>
        </w:rPr>
        <w:t xml:space="preserve">Florianópolis: </w:t>
      </w:r>
      <w:proofErr w:type="spellStart"/>
      <w:r w:rsidRPr="005B3871">
        <w:rPr>
          <w:rFonts w:ascii="Times New Roman" w:eastAsia="Times New Roman" w:hAnsi="Times New Roman" w:cs="Times New Roman"/>
          <w:sz w:val="24"/>
          <w:szCs w:val="24"/>
          <w:lang w:eastAsia="pt-BR"/>
        </w:rPr>
        <w:t>Fubdação</w:t>
      </w:r>
      <w:proofErr w:type="spellEnd"/>
      <w:r w:rsidRPr="005B3871">
        <w:rPr>
          <w:rFonts w:ascii="Times New Roman" w:eastAsia="Times New Roman" w:hAnsi="Times New Roman" w:cs="Times New Roman"/>
          <w:sz w:val="24"/>
          <w:szCs w:val="24"/>
          <w:lang w:eastAsia="pt-BR"/>
        </w:rPr>
        <w:t xml:space="preserve"> </w:t>
      </w:r>
      <w:proofErr w:type="spellStart"/>
      <w:r w:rsidRPr="005B3871">
        <w:rPr>
          <w:rFonts w:ascii="Times New Roman" w:eastAsia="Times New Roman" w:hAnsi="Times New Roman" w:cs="Times New Roman"/>
          <w:sz w:val="24"/>
          <w:szCs w:val="24"/>
          <w:lang w:eastAsia="pt-BR"/>
        </w:rPr>
        <w:t>Boiteux</w:t>
      </w:r>
      <w:proofErr w:type="spellEnd"/>
      <w:r w:rsidRPr="005B3871">
        <w:rPr>
          <w:rFonts w:ascii="Times New Roman" w:eastAsia="Times New Roman" w:hAnsi="Times New Roman" w:cs="Times New Roman"/>
          <w:sz w:val="24"/>
          <w:szCs w:val="24"/>
          <w:lang w:eastAsia="pt-BR"/>
        </w:rPr>
        <w:t xml:space="preserve">, </w:t>
      </w:r>
      <w:r w:rsidRPr="005B3871">
        <w:rPr>
          <w:rFonts w:ascii="Times New Roman" w:eastAsia="Times New Roman" w:hAnsi="Times New Roman" w:cs="Times New Roman"/>
          <w:sz w:val="24"/>
          <w:szCs w:val="24"/>
          <w:lang w:eastAsia="pt-BR"/>
        </w:rPr>
        <w:lastRenderedPageBreak/>
        <w:t>2009, v. , p. 8881-8892.</w:t>
      </w:r>
      <w:r>
        <w:rPr>
          <w:rFonts w:ascii="Times New Roman" w:eastAsia="Times New Roman" w:hAnsi="Times New Roman" w:cs="Times New Roman"/>
          <w:sz w:val="24"/>
          <w:szCs w:val="24"/>
          <w:lang w:eastAsia="pt-BR"/>
        </w:rPr>
        <w:t xml:space="preserve"> Disponível em: &lt;</w:t>
      </w:r>
      <w:r w:rsidRPr="00DD049E">
        <w:rPr>
          <w:rFonts w:ascii="Times New Roman" w:eastAsia="Times New Roman" w:hAnsi="Times New Roman" w:cs="Times New Roman"/>
          <w:sz w:val="24"/>
          <w:szCs w:val="24"/>
          <w:lang w:eastAsia="pt-BR"/>
        </w:rPr>
        <w:t>http://www.publicadireito.com.br/conpedi/manaus/arquivos/Anais/sao_paulo/2540.pdf</w:t>
      </w:r>
      <w:r>
        <w:rPr>
          <w:rFonts w:ascii="Times New Roman" w:eastAsia="Times New Roman" w:hAnsi="Times New Roman" w:cs="Times New Roman"/>
          <w:sz w:val="24"/>
          <w:szCs w:val="24"/>
          <w:lang w:eastAsia="pt-BR"/>
        </w:rPr>
        <w:t xml:space="preserve">&gt;. Acesso em </w:t>
      </w:r>
      <w:r w:rsidR="00A646C2">
        <w:rPr>
          <w:rFonts w:ascii="Times New Roman" w:eastAsia="Times New Roman" w:hAnsi="Times New Roman" w:cs="Times New Roman"/>
          <w:sz w:val="24"/>
          <w:szCs w:val="24"/>
          <w:lang w:eastAsia="pt-BR"/>
        </w:rPr>
        <w:t>31</w:t>
      </w:r>
      <w:r>
        <w:rPr>
          <w:rFonts w:ascii="Times New Roman" w:eastAsia="Times New Roman" w:hAnsi="Times New Roman" w:cs="Times New Roman"/>
          <w:sz w:val="24"/>
          <w:szCs w:val="24"/>
          <w:lang w:eastAsia="pt-BR"/>
        </w:rPr>
        <w:t xml:space="preserve"> de mai. 2021.</w:t>
      </w:r>
    </w:p>
    <w:p w14:paraId="2E084FC2" w14:textId="61F82B19" w:rsidR="00B51FA1" w:rsidRPr="00947CC1" w:rsidRDefault="00B51FA1" w:rsidP="00B51FA1">
      <w:pPr>
        <w:spacing w:before="100" w:afterLines="100" w:after="24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DUVAL, Fernandes; </w:t>
      </w:r>
      <w:r w:rsidRPr="00947CC1">
        <w:rPr>
          <w:rFonts w:ascii="Times New Roman" w:eastAsia="Times New Roman" w:hAnsi="Times New Roman" w:cs="Times New Roman"/>
          <w:sz w:val="24"/>
          <w:szCs w:val="24"/>
          <w:lang w:eastAsia="pt-BR"/>
        </w:rPr>
        <w:t>BAENINGER, Rosana (</w:t>
      </w:r>
      <w:proofErr w:type="spellStart"/>
      <w:r w:rsidRPr="00947CC1">
        <w:rPr>
          <w:rFonts w:ascii="Times New Roman" w:eastAsia="Times New Roman" w:hAnsi="Times New Roman" w:cs="Times New Roman"/>
          <w:sz w:val="24"/>
          <w:szCs w:val="24"/>
          <w:lang w:eastAsia="pt-BR"/>
        </w:rPr>
        <w:t>Coords</w:t>
      </w:r>
      <w:proofErr w:type="spellEnd"/>
      <w:r w:rsidRPr="00947CC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sz w:val="24"/>
          <w:szCs w:val="24"/>
          <w:lang w:eastAsia="pt-BR"/>
        </w:rPr>
        <w:t>Impactos da Pandemia de COVID-19 nas Migrações Internacionais no Brasil. Resultados de Pesquisa</w:t>
      </w:r>
      <w:r w:rsidRPr="00947CC1">
        <w:rPr>
          <w:rFonts w:ascii="Times New Roman" w:eastAsia="Times New Roman" w:hAnsi="Times New Roman" w:cs="Times New Roman"/>
          <w:sz w:val="24"/>
          <w:szCs w:val="24"/>
          <w:lang w:eastAsia="pt-BR"/>
        </w:rPr>
        <w:t xml:space="preserve">. Campinas: Núcleo de Estudos de População “Elza </w:t>
      </w:r>
      <w:proofErr w:type="spellStart"/>
      <w:r w:rsidRPr="00947CC1">
        <w:rPr>
          <w:rFonts w:ascii="Times New Roman" w:eastAsia="Times New Roman" w:hAnsi="Times New Roman" w:cs="Times New Roman"/>
          <w:sz w:val="24"/>
          <w:szCs w:val="24"/>
          <w:lang w:eastAsia="pt-BR"/>
        </w:rPr>
        <w:t>Berquó</w:t>
      </w:r>
      <w:proofErr w:type="spellEnd"/>
      <w:r w:rsidRPr="00947CC1">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 xml:space="preserve"> </w:t>
      </w:r>
      <w:proofErr w:type="spellStart"/>
      <w:r w:rsidRPr="00947CC1">
        <w:rPr>
          <w:rFonts w:ascii="Times New Roman" w:eastAsia="Times New Roman" w:hAnsi="Times New Roman" w:cs="Times New Roman"/>
          <w:sz w:val="24"/>
          <w:szCs w:val="24"/>
          <w:lang w:eastAsia="pt-BR"/>
        </w:rPr>
        <w:t>Nepo</w:t>
      </w:r>
      <w:proofErr w:type="spellEnd"/>
      <w:r w:rsidRPr="00947CC1">
        <w:rPr>
          <w:rFonts w:ascii="Times New Roman" w:eastAsia="Times New Roman" w:hAnsi="Times New Roman" w:cs="Times New Roman"/>
          <w:sz w:val="24"/>
          <w:szCs w:val="24"/>
          <w:lang w:eastAsia="pt-BR"/>
        </w:rPr>
        <w:t>/Unicamp, 20</w:t>
      </w:r>
      <w:r>
        <w:rPr>
          <w:rFonts w:ascii="Times New Roman" w:eastAsia="Times New Roman" w:hAnsi="Times New Roman" w:cs="Times New Roman"/>
          <w:sz w:val="24"/>
          <w:szCs w:val="24"/>
          <w:lang w:eastAsia="pt-BR"/>
        </w:rPr>
        <w:t>20</w:t>
      </w:r>
      <w:r w:rsidRPr="00947CC1">
        <w:rPr>
          <w:rFonts w:ascii="Times New Roman" w:eastAsia="Times New Roman" w:hAnsi="Times New Roman" w:cs="Times New Roman"/>
          <w:sz w:val="24"/>
          <w:szCs w:val="24"/>
          <w:lang w:eastAsia="pt-BR"/>
        </w:rPr>
        <w:t>. Disponível em: &lt;</w:t>
      </w:r>
      <w:r w:rsidR="00D22682" w:rsidRPr="00D22682">
        <w:rPr>
          <w:rFonts w:ascii="Times New Roman" w:eastAsia="Times New Roman" w:hAnsi="Times New Roman" w:cs="Times New Roman"/>
          <w:sz w:val="24"/>
          <w:szCs w:val="24"/>
          <w:lang w:eastAsia="pt-BR"/>
        </w:rPr>
        <w:t>https://www.nepo.unicamp.br/publicacoes/livros/impactos_pandemia/COVID%20NAS%20MIGRA%C3%87%C3%95ES%20INTERNACIONAIS.pdf</w:t>
      </w:r>
      <w:r>
        <w:rPr>
          <w:rFonts w:ascii="Times New Roman" w:eastAsia="Times New Roman" w:hAnsi="Times New Roman" w:cs="Times New Roman"/>
          <w:sz w:val="24"/>
          <w:szCs w:val="24"/>
          <w:lang w:eastAsia="pt-BR"/>
        </w:rPr>
        <w:t xml:space="preserve">&gt;. </w:t>
      </w:r>
      <w:r w:rsidRPr="00947CC1">
        <w:rPr>
          <w:rFonts w:ascii="Times New Roman" w:eastAsia="Times New Roman" w:hAnsi="Times New Roman" w:cs="Times New Roman"/>
          <w:sz w:val="24"/>
          <w:szCs w:val="24"/>
          <w:lang w:eastAsia="pt-BR"/>
        </w:rPr>
        <w:t xml:space="preserve">Acesso em </w:t>
      </w:r>
      <w:r>
        <w:rPr>
          <w:rFonts w:ascii="Times New Roman" w:eastAsia="Times New Roman" w:hAnsi="Times New Roman" w:cs="Times New Roman"/>
          <w:sz w:val="24"/>
          <w:szCs w:val="24"/>
          <w:lang w:eastAsia="pt-BR"/>
        </w:rPr>
        <w:t>03</w:t>
      </w:r>
      <w:r w:rsidRPr="00947CC1">
        <w:rPr>
          <w:rFonts w:ascii="Times New Roman" w:eastAsia="Times New Roman" w:hAnsi="Times New Roman" w:cs="Times New Roman"/>
          <w:sz w:val="24"/>
          <w:szCs w:val="24"/>
          <w:lang w:eastAsia="pt-BR"/>
        </w:rPr>
        <w:t xml:space="preserve"> ju</w:t>
      </w:r>
      <w:r>
        <w:rPr>
          <w:rFonts w:ascii="Times New Roman" w:eastAsia="Times New Roman" w:hAnsi="Times New Roman" w:cs="Times New Roman"/>
          <w:sz w:val="24"/>
          <w:szCs w:val="24"/>
          <w:lang w:eastAsia="pt-BR"/>
        </w:rPr>
        <w:t>n</w:t>
      </w:r>
      <w:r w:rsidRPr="00947CC1">
        <w:rPr>
          <w:rFonts w:ascii="Times New Roman" w:eastAsia="Times New Roman" w:hAnsi="Times New Roman" w:cs="Times New Roman"/>
          <w:sz w:val="24"/>
          <w:szCs w:val="24"/>
          <w:lang w:eastAsia="pt-BR"/>
        </w:rPr>
        <w:t>. 202</w:t>
      </w:r>
      <w:r>
        <w:rPr>
          <w:rFonts w:ascii="Times New Roman" w:eastAsia="Times New Roman" w:hAnsi="Times New Roman" w:cs="Times New Roman"/>
          <w:sz w:val="24"/>
          <w:szCs w:val="24"/>
          <w:lang w:eastAsia="pt-BR"/>
        </w:rPr>
        <w:t>1</w:t>
      </w:r>
      <w:r w:rsidRPr="00947CC1">
        <w:rPr>
          <w:rFonts w:ascii="Times New Roman" w:eastAsia="Times New Roman" w:hAnsi="Times New Roman" w:cs="Times New Roman"/>
          <w:sz w:val="24"/>
          <w:szCs w:val="24"/>
          <w:lang w:eastAsia="pt-BR"/>
        </w:rPr>
        <w:t>.</w:t>
      </w:r>
    </w:p>
    <w:p w14:paraId="495B78C0" w14:textId="6B562B60" w:rsidR="00FE6134" w:rsidRDefault="00FE6134" w:rsidP="00406042">
      <w:pPr>
        <w:spacing w:before="100" w:afterLines="100" w:after="240" w:line="240" w:lineRule="auto"/>
        <w:rPr>
          <w:rFonts w:ascii="Times New Roman" w:eastAsia="Times New Roman" w:hAnsi="Times New Roman" w:cs="Times New Roman"/>
          <w:sz w:val="24"/>
          <w:szCs w:val="24"/>
          <w:lang w:val="en-US" w:eastAsia="pt-BR"/>
        </w:rPr>
      </w:pPr>
      <w:r w:rsidRPr="00947CC1">
        <w:rPr>
          <w:rFonts w:ascii="Times New Roman" w:eastAsia="Times New Roman" w:hAnsi="Times New Roman" w:cs="Times New Roman"/>
          <w:sz w:val="24"/>
          <w:szCs w:val="24"/>
          <w:lang w:eastAsia="pt-BR"/>
        </w:rPr>
        <w:t>IBGE.</w:t>
      </w:r>
      <w:r w:rsidRPr="00947CC1">
        <w:rPr>
          <w:rFonts w:ascii="Times New Roman" w:eastAsia="Times New Roman" w:hAnsi="Times New Roman" w:cs="Times New Roman"/>
          <w:b/>
          <w:sz w:val="24"/>
          <w:szCs w:val="24"/>
          <w:lang w:eastAsia="pt-BR"/>
        </w:rPr>
        <w:t xml:space="preserve"> </w:t>
      </w:r>
      <w:r w:rsidRPr="00F83317">
        <w:rPr>
          <w:rFonts w:ascii="Times New Roman" w:eastAsia="Times New Roman" w:hAnsi="Times New Roman" w:cs="Times New Roman"/>
          <w:sz w:val="24"/>
          <w:szCs w:val="24"/>
          <w:lang w:eastAsia="pt-BR"/>
        </w:rPr>
        <w:t>Brasil: 500 anos de povoamento.</w:t>
      </w:r>
      <w:r w:rsidRPr="00947CC1">
        <w:rPr>
          <w:rFonts w:ascii="Times New Roman" w:eastAsia="Times New Roman" w:hAnsi="Times New Roman" w:cs="Times New Roman"/>
          <w:sz w:val="24"/>
          <w:szCs w:val="24"/>
          <w:lang w:eastAsia="pt-BR"/>
        </w:rPr>
        <w:t xml:space="preserve"> </w:t>
      </w:r>
      <w:r w:rsidRPr="00F83317">
        <w:rPr>
          <w:rFonts w:ascii="Times New Roman" w:eastAsia="Times New Roman" w:hAnsi="Times New Roman" w:cs="Times New Roman"/>
          <w:b/>
          <w:sz w:val="24"/>
          <w:szCs w:val="24"/>
          <w:lang w:eastAsia="pt-BR"/>
        </w:rPr>
        <w:t>Centro de Documentação e Disseminação de Informações.</w:t>
      </w:r>
      <w:r w:rsidRPr="00947CC1">
        <w:rPr>
          <w:rFonts w:ascii="Times New Roman" w:eastAsia="Times New Roman" w:hAnsi="Times New Roman" w:cs="Times New Roman"/>
          <w:sz w:val="24"/>
          <w:szCs w:val="24"/>
          <w:lang w:eastAsia="pt-BR"/>
        </w:rPr>
        <w:t xml:space="preserve"> Rio de Janeiro: IBGE, 2007. Disponível em: &lt;https://biblioteca.ibge.gov.br/visualizacao/livros/liv6687.pdf&gt;. </w:t>
      </w:r>
      <w:proofErr w:type="spellStart"/>
      <w:r w:rsidRPr="00947CC1">
        <w:rPr>
          <w:rFonts w:ascii="Times New Roman" w:eastAsia="Times New Roman" w:hAnsi="Times New Roman" w:cs="Times New Roman"/>
          <w:sz w:val="24"/>
          <w:szCs w:val="24"/>
          <w:lang w:val="en-US" w:eastAsia="pt-BR"/>
        </w:rPr>
        <w:t>Acesso</w:t>
      </w:r>
      <w:proofErr w:type="spellEnd"/>
      <w:r w:rsidRPr="00947CC1">
        <w:rPr>
          <w:rFonts w:ascii="Times New Roman" w:eastAsia="Times New Roman" w:hAnsi="Times New Roman" w:cs="Times New Roman"/>
          <w:sz w:val="24"/>
          <w:szCs w:val="24"/>
          <w:lang w:val="en-US" w:eastAsia="pt-BR"/>
        </w:rPr>
        <w:t xml:space="preserve"> </w:t>
      </w:r>
      <w:proofErr w:type="spellStart"/>
      <w:r w:rsidRPr="00947CC1">
        <w:rPr>
          <w:rFonts w:ascii="Times New Roman" w:eastAsia="Times New Roman" w:hAnsi="Times New Roman" w:cs="Times New Roman"/>
          <w:sz w:val="24"/>
          <w:szCs w:val="24"/>
          <w:lang w:val="en-US" w:eastAsia="pt-BR"/>
        </w:rPr>
        <w:t>em</w:t>
      </w:r>
      <w:proofErr w:type="spellEnd"/>
      <w:r w:rsidRPr="00947CC1">
        <w:rPr>
          <w:rFonts w:ascii="Times New Roman" w:eastAsia="Times New Roman" w:hAnsi="Times New Roman" w:cs="Times New Roman"/>
          <w:sz w:val="24"/>
          <w:szCs w:val="24"/>
          <w:lang w:val="en-US" w:eastAsia="pt-BR"/>
        </w:rPr>
        <w:t xml:space="preserve"> </w:t>
      </w:r>
      <w:r w:rsidR="00A646C2">
        <w:rPr>
          <w:rFonts w:ascii="Times New Roman" w:eastAsia="Times New Roman" w:hAnsi="Times New Roman" w:cs="Times New Roman"/>
          <w:sz w:val="24"/>
          <w:szCs w:val="24"/>
          <w:lang w:val="en-US" w:eastAsia="pt-BR"/>
        </w:rPr>
        <w:t>31</w:t>
      </w:r>
      <w:r w:rsidRPr="00947CC1">
        <w:rPr>
          <w:rFonts w:ascii="Times New Roman" w:eastAsia="Times New Roman" w:hAnsi="Times New Roman" w:cs="Times New Roman"/>
          <w:sz w:val="24"/>
          <w:szCs w:val="24"/>
          <w:lang w:val="en-US" w:eastAsia="pt-BR"/>
        </w:rPr>
        <w:t xml:space="preserve"> </w:t>
      </w:r>
      <w:proofErr w:type="spellStart"/>
      <w:r w:rsidR="00A646C2">
        <w:rPr>
          <w:rFonts w:ascii="Times New Roman" w:eastAsia="Times New Roman" w:hAnsi="Times New Roman" w:cs="Times New Roman"/>
          <w:sz w:val="24"/>
          <w:szCs w:val="24"/>
          <w:lang w:val="en-US" w:eastAsia="pt-BR"/>
        </w:rPr>
        <w:t>mai</w:t>
      </w:r>
      <w:proofErr w:type="spellEnd"/>
      <w:r w:rsidRPr="00947CC1">
        <w:rPr>
          <w:rFonts w:ascii="Times New Roman" w:eastAsia="Times New Roman" w:hAnsi="Times New Roman" w:cs="Times New Roman"/>
          <w:sz w:val="24"/>
          <w:szCs w:val="24"/>
          <w:lang w:val="en-US" w:eastAsia="pt-BR"/>
        </w:rPr>
        <w:t>. 202</w:t>
      </w:r>
      <w:r w:rsidR="00A646C2">
        <w:rPr>
          <w:rFonts w:ascii="Times New Roman" w:eastAsia="Times New Roman" w:hAnsi="Times New Roman" w:cs="Times New Roman"/>
          <w:sz w:val="24"/>
          <w:szCs w:val="24"/>
          <w:lang w:val="en-US" w:eastAsia="pt-BR"/>
        </w:rPr>
        <w:t>1</w:t>
      </w:r>
      <w:r w:rsidRPr="00947CC1">
        <w:rPr>
          <w:rFonts w:ascii="Times New Roman" w:eastAsia="Times New Roman" w:hAnsi="Times New Roman" w:cs="Times New Roman"/>
          <w:sz w:val="24"/>
          <w:szCs w:val="24"/>
          <w:lang w:val="en-US" w:eastAsia="pt-BR"/>
        </w:rPr>
        <w:t>.</w:t>
      </w:r>
    </w:p>
    <w:p w14:paraId="0828D407"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INTERNATIONAL</w:t>
      </w:r>
      <w:r w:rsidRPr="00947CC1">
        <w:rPr>
          <w:rFonts w:ascii="Times New Roman" w:hAnsi="Times New Roman" w:cs="Times New Roman"/>
          <w:noProof/>
          <w:sz w:val="24"/>
          <w:szCs w:val="24"/>
          <w:lang w:val="en-US"/>
        </w:rPr>
        <w:t xml:space="preserve"> ORGANIZATION FOR STANDARTIZATION, </w:t>
      </w:r>
      <w:r w:rsidRPr="00947CC1">
        <w:rPr>
          <w:rFonts w:ascii="Times New Roman" w:hAnsi="Times New Roman" w:cs="Times New Roman"/>
          <w:b/>
          <w:noProof/>
          <w:sz w:val="24"/>
          <w:szCs w:val="24"/>
          <w:lang w:val="en-US"/>
        </w:rPr>
        <w:t>Risk management – Risk assessment techniques</w:t>
      </w:r>
      <w:r w:rsidRPr="00947CC1">
        <w:rPr>
          <w:rFonts w:ascii="Times New Roman" w:hAnsi="Times New Roman" w:cs="Times New Roman"/>
          <w:noProof/>
          <w:sz w:val="24"/>
          <w:szCs w:val="24"/>
          <w:lang w:val="en-US"/>
        </w:rPr>
        <w:t>. ISO/IEC 31010:2009. Geneva. 2009.</w:t>
      </w:r>
    </w:p>
    <w:p w14:paraId="215ACF7C" w14:textId="1B851FFA" w:rsidR="007949BA" w:rsidRDefault="007949BA" w:rsidP="00406042">
      <w:pPr>
        <w:spacing w:before="100" w:afterLines="100" w:after="240" w:line="240" w:lineRule="auto"/>
        <w:rPr>
          <w:rFonts w:ascii="Times New Roman" w:hAnsi="Times New Roman" w:cs="Times New Roman"/>
          <w:noProof/>
          <w:sz w:val="24"/>
          <w:szCs w:val="24"/>
        </w:rPr>
      </w:pPr>
      <w:r w:rsidRPr="00947CC1">
        <w:rPr>
          <w:rFonts w:ascii="Times New Roman" w:hAnsi="Times New Roman" w:cs="Times New Roman"/>
          <w:sz w:val="24"/>
          <w:szCs w:val="24"/>
          <w:lang w:val="en-US"/>
        </w:rPr>
        <w:t>INTERNATIONAL</w:t>
      </w:r>
      <w:r w:rsidRPr="00947CC1">
        <w:rPr>
          <w:rFonts w:ascii="Times New Roman" w:hAnsi="Times New Roman" w:cs="Times New Roman"/>
          <w:noProof/>
          <w:sz w:val="24"/>
          <w:szCs w:val="24"/>
          <w:lang w:val="en-US"/>
        </w:rPr>
        <w:t xml:space="preserve"> ORGANIZATION FOR </w:t>
      </w:r>
      <w:r w:rsidRPr="00947CC1">
        <w:rPr>
          <w:rFonts w:ascii="Times New Roman" w:hAnsi="Times New Roman" w:cs="Times New Roman"/>
          <w:b/>
          <w:noProof/>
          <w:sz w:val="24"/>
          <w:szCs w:val="24"/>
          <w:lang w:val="en-US"/>
        </w:rPr>
        <w:t>STANDARTIZATION. Risk management - Principles and guidelines</w:t>
      </w:r>
      <w:r w:rsidRPr="00947CC1">
        <w:rPr>
          <w:rFonts w:ascii="Times New Roman" w:hAnsi="Times New Roman" w:cs="Times New Roman"/>
          <w:noProof/>
          <w:sz w:val="24"/>
          <w:szCs w:val="24"/>
          <w:lang w:val="en-US"/>
        </w:rPr>
        <w:t xml:space="preserve">. </w:t>
      </w:r>
      <w:r w:rsidRPr="00947CC1">
        <w:rPr>
          <w:rFonts w:ascii="Times New Roman" w:hAnsi="Times New Roman" w:cs="Times New Roman"/>
          <w:noProof/>
          <w:sz w:val="24"/>
          <w:szCs w:val="24"/>
        </w:rPr>
        <w:t>ISO 31000:2018, Geneva. 2018.</w:t>
      </w:r>
    </w:p>
    <w:p w14:paraId="08574DD2" w14:textId="19104036" w:rsidR="00915372" w:rsidRPr="006E4976" w:rsidRDefault="00915372" w:rsidP="00915372">
      <w:pPr>
        <w:spacing w:before="100" w:afterLines="100" w:after="240" w:line="240" w:lineRule="auto"/>
        <w:rPr>
          <w:rFonts w:ascii="Times New Roman" w:eastAsia="Times New Roman" w:hAnsi="Times New Roman" w:cs="Times New Roman"/>
          <w:sz w:val="24"/>
          <w:szCs w:val="24"/>
          <w:lang w:eastAsia="pt-BR"/>
        </w:rPr>
      </w:pPr>
      <w:r w:rsidRPr="006E4976">
        <w:rPr>
          <w:rFonts w:ascii="Times New Roman" w:eastAsia="Times New Roman" w:hAnsi="Times New Roman" w:cs="Times New Roman"/>
          <w:sz w:val="24"/>
          <w:szCs w:val="24"/>
          <w:lang w:eastAsia="pt-BR"/>
        </w:rPr>
        <w:t xml:space="preserve">MARTINE, George. </w:t>
      </w:r>
      <w:r w:rsidRPr="006E4976">
        <w:rPr>
          <w:rFonts w:ascii="Times New Roman" w:eastAsia="Times New Roman" w:hAnsi="Times New Roman" w:cs="Times New Roman"/>
          <w:b/>
          <w:sz w:val="24"/>
          <w:szCs w:val="24"/>
          <w:lang w:eastAsia="pt-BR"/>
        </w:rPr>
        <w:t>A globalização inacabada: migrações internacionais e pobreza no século 21</w:t>
      </w:r>
      <w:r w:rsidRPr="006E4976">
        <w:rPr>
          <w:rFonts w:ascii="Times New Roman" w:eastAsia="Times New Roman" w:hAnsi="Times New Roman" w:cs="Times New Roman"/>
          <w:sz w:val="24"/>
          <w:szCs w:val="24"/>
          <w:lang w:eastAsia="pt-BR"/>
        </w:rPr>
        <w:t xml:space="preserve">. São Paulo </w:t>
      </w:r>
      <w:proofErr w:type="spellStart"/>
      <w:r w:rsidRPr="006E4976">
        <w:rPr>
          <w:rFonts w:ascii="Times New Roman" w:eastAsia="Times New Roman" w:hAnsi="Times New Roman" w:cs="Times New Roman"/>
          <w:sz w:val="24"/>
          <w:szCs w:val="24"/>
          <w:lang w:eastAsia="pt-BR"/>
        </w:rPr>
        <w:t>Perspec</w:t>
      </w:r>
      <w:proofErr w:type="spellEnd"/>
      <w:r w:rsidRPr="006E4976">
        <w:rPr>
          <w:rFonts w:ascii="Times New Roman" w:eastAsia="Times New Roman" w:hAnsi="Times New Roman" w:cs="Times New Roman"/>
          <w:sz w:val="24"/>
          <w:szCs w:val="24"/>
          <w:lang w:eastAsia="pt-BR"/>
        </w:rPr>
        <w:t xml:space="preserve">., São Paulo , v. 19, n. 3, p. 3-22, </w:t>
      </w:r>
      <w:proofErr w:type="spellStart"/>
      <w:r w:rsidRPr="006E4976">
        <w:rPr>
          <w:rFonts w:ascii="Times New Roman" w:eastAsia="Times New Roman" w:hAnsi="Times New Roman" w:cs="Times New Roman"/>
          <w:sz w:val="24"/>
          <w:szCs w:val="24"/>
          <w:lang w:eastAsia="pt-BR"/>
        </w:rPr>
        <w:t>Sept</w:t>
      </w:r>
      <w:proofErr w:type="spellEnd"/>
      <w:r w:rsidRPr="006E4976">
        <w:rPr>
          <w:rFonts w:ascii="Times New Roman" w:eastAsia="Times New Roman" w:hAnsi="Times New Roman" w:cs="Times New Roman"/>
          <w:sz w:val="24"/>
          <w:szCs w:val="24"/>
          <w:lang w:eastAsia="pt-BR"/>
        </w:rPr>
        <w:t xml:space="preserve">. 2005. </w:t>
      </w:r>
      <w:r>
        <w:rPr>
          <w:rFonts w:ascii="Times New Roman" w:eastAsia="Times New Roman" w:hAnsi="Times New Roman" w:cs="Times New Roman"/>
          <w:sz w:val="24"/>
          <w:szCs w:val="24"/>
          <w:lang w:eastAsia="pt-BR"/>
        </w:rPr>
        <w:t>D</w:t>
      </w:r>
      <w:r w:rsidRPr="006E4976">
        <w:rPr>
          <w:rFonts w:ascii="Times New Roman" w:eastAsia="Times New Roman" w:hAnsi="Times New Roman" w:cs="Times New Roman"/>
          <w:sz w:val="24"/>
          <w:szCs w:val="24"/>
          <w:lang w:eastAsia="pt-BR"/>
        </w:rPr>
        <w:t>isponível em</w:t>
      </w:r>
      <w:r>
        <w:rPr>
          <w:rFonts w:ascii="Times New Roman" w:eastAsia="Times New Roman" w:hAnsi="Times New Roman" w:cs="Times New Roman"/>
          <w:sz w:val="24"/>
          <w:szCs w:val="24"/>
          <w:lang w:eastAsia="pt-BR"/>
        </w:rPr>
        <w:t>:</w:t>
      </w:r>
      <w:r w:rsidRPr="006E497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&lt;</w:t>
      </w:r>
      <w:r w:rsidRPr="006E4976">
        <w:rPr>
          <w:rFonts w:ascii="Times New Roman" w:eastAsia="Times New Roman" w:hAnsi="Times New Roman" w:cs="Times New Roman"/>
          <w:sz w:val="24"/>
          <w:szCs w:val="24"/>
          <w:lang w:eastAsia="pt-BR"/>
        </w:rPr>
        <w:t>https://www.scielo.br/j/spp/a/ddmq64Q3LR7dwYJYcNR4pQf/?lang=pt</w:t>
      </w:r>
      <w:r>
        <w:rPr>
          <w:rFonts w:ascii="Times New Roman" w:eastAsia="Times New Roman" w:hAnsi="Times New Roman" w:cs="Times New Roman"/>
          <w:sz w:val="24"/>
          <w:szCs w:val="24"/>
          <w:lang w:eastAsia="pt-BR"/>
        </w:rPr>
        <w:t>&gt;</w:t>
      </w:r>
      <w:r w:rsidRPr="006E4976">
        <w:rPr>
          <w:rFonts w:ascii="Times New Roman" w:eastAsia="Times New Roman" w:hAnsi="Times New Roman" w:cs="Times New Roman"/>
          <w:sz w:val="24"/>
          <w:szCs w:val="24"/>
          <w:lang w:eastAsia="pt-BR"/>
        </w:rPr>
        <w:t xml:space="preserve">. Acesso em </w:t>
      </w:r>
      <w:r>
        <w:rPr>
          <w:rFonts w:ascii="Times New Roman" w:eastAsia="Times New Roman" w:hAnsi="Times New Roman" w:cs="Times New Roman"/>
          <w:sz w:val="24"/>
          <w:szCs w:val="24"/>
          <w:lang w:eastAsia="pt-BR"/>
        </w:rPr>
        <w:t>31 mai</w:t>
      </w:r>
      <w:r w:rsidR="00994D2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6E4976">
        <w:rPr>
          <w:rFonts w:ascii="Times New Roman" w:eastAsia="Times New Roman" w:hAnsi="Times New Roman" w:cs="Times New Roman"/>
          <w:sz w:val="24"/>
          <w:szCs w:val="24"/>
          <w:lang w:eastAsia="pt-BR"/>
        </w:rPr>
        <w:t>20</w:t>
      </w:r>
      <w:r>
        <w:rPr>
          <w:rFonts w:ascii="Times New Roman" w:eastAsia="Times New Roman" w:hAnsi="Times New Roman" w:cs="Times New Roman"/>
          <w:sz w:val="24"/>
          <w:szCs w:val="24"/>
          <w:lang w:eastAsia="pt-BR"/>
        </w:rPr>
        <w:t>2</w:t>
      </w:r>
      <w:r w:rsidRPr="006E4976">
        <w:rPr>
          <w:rFonts w:ascii="Times New Roman" w:eastAsia="Times New Roman" w:hAnsi="Times New Roman" w:cs="Times New Roman"/>
          <w:sz w:val="24"/>
          <w:szCs w:val="24"/>
          <w:lang w:eastAsia="pt-BR"/>
        </w:rPr>
        <w:t>1.</w:t>
      </w:r>
    </w:p>
    <w:p w14:paraId="46F06F48" w14:textId="79F64E3C" w:rsidR="004C1179" w:rsidRPr="00947CC1" w:rsidRDefault="004C1179" w:rsidP="00406042">
      <w:pPr>
        <w:spacing w:before="100" w:afterLines="100" w:after="240" w:line="240" w:lineRule="auto"/>
        <w:rPr>
          <w:rFonts w:ascii="Times New Roman" w:eastAsia="Times New Roman" w:hAnsi="Times New Roman" w:cs="Times New Roman"/>
          <w:sz w:val="24"/>
          <w:szCs w:val="24"/>
          <w:lang w:eastAsia="pt-BR"/>
        </w:rPr>
      </w:pPr>
      <w:r w:rsidRPr="00947CC1">
        <w:rPr>
          <w:rFonts w:ascii="Times New Roman" w:eastAsia="Times New Roman" w:hAnsi="Times New Roman" w:cs="Times New Roman"/>
          <w:sz w:val="24"/>
          <w:szCs w:val="24"/>
          <w:lang w:eastAsia="pt-BR"/>
        </w:rPr>
        <w:t xml:space="preserve">OBMIGRA. </w:t>
      </w:r>
      <w:r w:rsidRPr="00947CC1">
        <w:rPr>
          <w:rFonts w:ascii="Times New Roman" w:eastAsia="Times New Roman" w:hAnsi="Times New Roman" w:cs="Times New Roman"/>
          <w:b/>
          <w:sz w:val="24"/>
          <w:szCs w:val="24"/>
          <w:lang w:eastAsia="pt-BR"/>
        </w:rPr>
        <w:t xml:space="preserve">Acompanhamento de fluxo e empregabilidade dos imigrantes no Brasil: Relatório Mensal do </w:t>
      </w:r>
      <w:proofErr w:type="spellStart"/>
      <w:r w:rsidRPr="00947CC1">
        <w:rPr>
          <w:rFonts w:ascii="Times New Roman" w:eastAsia="Times New Roman" w:hAnsi="Times New Roman" w:cs="Times New Roman"/>
          <w:b/>
          <w:sz w:val="24"/>
          <w:szCs w:val="24"/>
          <w:lang w:eastAsia="pt-BR"/>
        </w:rPr>
        <w:t>OBMigra</w:t>
      </w:r>
      <w:proofErr w:type="spellEnd"/>
      <w:r w:rsidRPr="00947CC1">
        <w:rPr>
          <w:rFonts w:ascii="Times New Roman" w:eastAsia="Times New Roman" w:hAnsi="Times New Roman" w:cs="Times New Roman"/>
          <w:sz w:val="24"/>
          <w:szCs w:val="24"/>
          <w:lang w:eastAsia="pt-BR"/>
        </w:rPr>
        <w:t>. Ano 0, Números 1</w:t>
      </w:r>
      <w:r w:rsidR="00707D86">
        <w:rPr>
          <w:rFonts w:ascii="Times New Roman" w:eastAsia="Times New Roman" w:hAnsi="Times New Roman" w:cs="Times New Roman"/>
          <w:sz w:val="24"/>
          <w:szCs w:val="24"/>
          <w:lang w:eastAsia="pt-BR"/>
        </w:rPr>
        <w:t xml:space="preserve"> - 1</w:t>
      </w:r>
      <w:r w:rsidRPr="00947CC1">
        <w:rPr>
          <w:rFonts w:ascii="Times New Roman" w:eastAsia="Times New Roman" w:hAnsi="Times New Roman" w:cs="Times New Roman"/>
          <w:sz w:val="24"/>
          <w:szCs w:val="24"/>
          <w:lang w:eastAsia="pt-BR"/>
        </w:rPr>
        <w:t xml:space="preserve">2. Brasília, DF: </w:t>
      </w:r>
      <w:proofErr w:type="spellStart"/>
      <w:r w:rsidRPr="00947CC1">
        <w:rPr>
          <w:rFonts w:ascii="Times New Roman" w:eastAsia="Times New Roman" w:hAnsi="Times New Roman" w:cs="Times New Roman"/>
          <w:sz w:val="24"/>
          <w:szCs w:val="24"/>
          <w:lang w:eastAsia="pt-BR"/>
        </w:rPr>
        <w:t>OBMigra</w:t>
      </w:r>
      <w:proofErr w:type="spellEnd"/>
      <w:r w:rsidRPr="00947CC1">
        <w:rPr>
          <w:rFonts w:ascii="Times New Roman" w:eastAsia="Times New Roman" w:hAnsi="Times New Roman" w:cs="Times New Roman"/>
          <w:sz w:val="24"/>
          <w:szCs w:val="24"/>
          <w:lang w:eastAsia="pt-BR"/>
        </w:rPr>
        <w:t xml:space="preserve">, 2019. Disponível em: &lt;https://portaldeimigracao.mj.gov.br/pt/dados/relatorios-mensais&gt;. Acesso em </w:t>
      </w:r>
      <w:r w:rsidR="004D62F7">
        <w:rPr>
          <w:rFonts w:ascii="Times New Roman" w:eastAsia="Times New Roman" w:hAnsi="Times New Roman" w:cs="Times New Roman"/>
          <w:sz w:val="24"/>
          <w:szCs w:val="24"/>
          <w:lang w:eastAsia="pt-BR"/>
        </w:rPr>
        <w:t>01</w:t>
      </w:r>
      <w:r w:rsidR="004D62F7" w:rsidRPr="00947CC1">
        <w:rPr>
          <w:rFonts w:ascii="Times New Roman" w:eastAsia="Times New Roman" w:hAnsi="Times New Roman" w:cs="Times New Roman"/>
          <w:sz w:val="24"/>
          <w:szCs w:val="24"/>
          <w:lang w:eastAsia="pt-BR"/>
        </w:rPr>
        <w:t xml:space="preserve"> </w:t>
      </w:r>
      <w:r w:rsidRPr="00947CC1">
        <w:rPr>
          <w:rFonts w:ascii="Times New Roman" w:eastAsia="Times New Roman" w:hAnsi="Times New Roman" w:cs="Times New Roman"/>
          <w:sz w:val="24"/>
          <w:szCs w:val="24"/>
          <w:lang w:eastAsia="pt-BR"/>
        </w:rPr>
        <w:t>ju</w:t>
      </w:r>
      <w:r w:rsidR="004D62F7">
        <w:rPr>
          <w:rFonts w:ascii="Times New Roman" w:eastAsia="Times New Roman" w:hAnsi="Times New Roman" w:cs="Times New Roman"/>
          <w:sz w:val="24"/>
          <w:szCs w:val="24"/>
          <w:lang w:eastAsia="pt-BR"/>
        </w:rPr>
        <w:t>n</w:t>
      </w:r>
      <w:r w:rsidRPr="00947CC1">
        <w:rPr>
          <w:rFonts w:ascii="Times New Roman" w:eastAsia="Times New Roman" w:hAnsi="Times New Roman" w:cs="Times New Roman"/>
          <w:sz w:val="24"/>
          <w:szCs w:val="24"/>
          <w:lang w:eastAsia="pt-BR"/>
        </w:rPr>
        <w:t xml:space="preserve">. </w:t>
      </w:r>
      <w:r w:rsidR="004D62F7" w:rsidRPr="00947CC1">
        <w:rPr>
          <w:rFonts w:ascii="Times New Roman" w:eastAsia="Times New Roman" w:hAnsi="Times New Roman" w:cs="Times New Roman"/>
          <w:sz w:val="24"/>
          <w:szCs w:val="24"/>
          <w:lang w:eastAsia="pt-BR"/>
        </w:rPr>
        <w:t>202</w:t>
      </w:r>
      <w:r w:rsidR="004D62F7">
        <w:rPr>
          <w:rFonts w:ascii="Times New Roman" w:eastAsia="Times New Roman" w:hAnsi="Times New Roman" w:cs="Times New Roman"/>
          <w:sz w:val="24"/>
          <w:szCs w:val="24"/>
          <w:lang w:eastAsia="pt-BR"/>
        </w:rPr>
        <w:t>1</w:t>
      </w:r>
      <w:r w:rsidRPr="00947CC1">
        <w:rPr>
          <w:rFonts w:ascii="Times New Roman" w:eastAsia="Times New Roman" w:hAnsi="Times New Roman" w:cs="Times New Roman"/>
          <w:sz w:val="24"/>
          <w:szCs w:val="24"/>
          <w:lang w:eastAsia="pt-BR"/>
        </w:rPr>
        <w:t>.</w:t>
      </w:r>
    </w:p>
    <w:p w14:paraId="70F6CBAC" w14:textId="7367D8C5" w:rsidR="004C1179" w:rsidRPr="00947CC1" w:rsidRDefault="004C1179" w:rsidP="00406042">
      <w:pPr>
        <w:spacing w:before="100" w:afterLines="100" w:after="240" w:line="240" w:lineRule="auto"/>
        <w:rPr>
          <w:rFonts w:ascii="Times New Roman" w:hAnsi="Times New Roman" w:cs="Times New Roman"/>
          <w:noProof/>
          <w:sz w:val="24"/>
          <w:szCs w:val="24"/>
        </w:rPr>
      </w:pPr>
      <w:r w:rsidRPr="00947CC1">
        <w:rPr>
          <w:rFonts w:ascii="Times New Roman" w:eastAsia="Times New Roman" w:hAnsi="Times New Roman" w:cs="Times New Roman"/>
          <w:sz w:val="24"/>
          <w:szCs w:val="24"/>
          <w:lang w:eastAsia="pt-BR"/>
        </w:rPr>
        <w:t xml:space="preserve">OBMIGRA. </w:t>
      </w:r>
      <w:r w:rsidRPr="00947CC1">
        <w:rPr>
          <w:rFonts w:ascii="Times New Roman" w:eastAsia="Times New Roman" w:hAnsi="Times New Roman" w:cs="Times New Roman"/>
          <w:b/>
          <w:sz w:val="24"/>
          <w:szCs w:val="24"/>
          <w:lang w:eastAsia="pt-BR"/>
        </w:rPr>
        <w:t xml:space="preserve">Acompanhamento de fluxo e empregabilidade dos imigrantes no Brasil: Relatório Mensal do </w:t>
      </w:r>
      <w:proofErr w:type="spellStart"/>
      <w:r w:rsidRPr="00947CC1">
        <w:rPr>
          <w:rFonts w:ascii="Times New Roman" w:eastAsia="Times New Roman" w:hAnsi="Times New Roman" w:cs="Times New Roman"/>
          <w:b/>
          <w:sz w:val="24"/>
          <w:szCs w:val="24"/>
          <w:lang w:eastAsia="pt-BR"/>
        </w:rPr>
        <w:t>OBMigra</w:t>
      </w:r>
      <w:proofErr w:type="spellEnd"/>
      <w:r w:rsidRPr="00947CC1">
        <w:rPr>
          <w:rFonts w:ascii="Times New Roman" w:eastAsia="Times New Roman" w:hAnsi="Times New Roman" w:cs="Times New Roman"/>
          <w:sz w:val="24"/>
          <w:szCs w:val="24"/>
          <w:lang w:eastAsia="pt-BR"/>
        </w:rPr>
        <w:t>. Ano 1, Números 1</w:t>
      </w:r>
      <w:r w:rsidR="00707D86">
        <w:rPr>
          <w:rFonts w:ascii="Times New Roman" w:eastAsia="Times New Roman" w:hAnsi="Times New Roman" w:cs="Times New Roman"/>
          <w:sz w:val="24"/>
          <w:szCs w:val="24"/>
          <w:lang w:eastAsia="pt-BR"/>
        </w:rPr>
        <w:t>-12</w:t>
      </w:r>
      <w:r w:rsidRPr="00947CC1">
        <w:rPr>
          <w:rFonts w:ascii="Times New Roman" w:eastAsia="Times New Roman" w:hAnsi="Times New Roman" w:cs="Times New Roman"/>
          <w:sz w:val="24"/>
          <w:szCs w:val="24"/>
          <w:lang w:eastAsia="pt-BR"/>
        </w:rPr>
        <w:t xml:space="preserve">. Brasília, DF: </w:t>
      </w:r>
      <w:proofErr w:type="spellStart"/>
      <w:r w:rsidRPr="00947CC1">
        <w:rPr>
          <w:rFonts w:ascii="Times New Roman" w:eastAsia="Times New Roman" w:hAnsi="Times New Roman" w:cs="Times New Roman"/>
          <w:sz w:val="24"/>
          <w:szCs w:val="24"/>
          <w:lang w:eastAsia="pt-BR"/>
        </w:rPr>
        <w:t>OBMigra</w:t>
      </w:r>
      <w:proofErr w:type="spellEnd"/>
      <w:r w:rsidRPr="00947CC1">
        <w:rPr>
          <w:rFonts w:ascii="Times New Roman" w:eastAsia="Times New Roman" w:hAnsi="Times New Roman" w:cs="Times New Roman"/>
          <w:sz w:val="24"/>
          <w:szCs w:val="24"/>
          <w:lang w:eastAsia="pt-BR"/>
        </w:rPr>
        <w:t xml:space="preserve">, 2020. Disponível em: &lt;https://portaldeimigracao.mj.gov.br/pt/dados/relatorios-mensais&gt;. Acesso em </w:t>
      </w:r>
      <w:r w:rsidR="004D62F7">
        <w:rPr>
          <w:rFonts w:ascii="Times New Roman" w:eastAsia="Times New Roman" w:hAnsi="Times New Roman" w:cs="Times New Roman"/>
          <w:sz w:val="24"/>
          <w:szCs w:val="24"/>
          <w:lang w:eastAsia="pt-BR"/>
        </w:rPr>
        <w:t>02</w:t>
      </w:r>
      <w:r w:rsidR="004D62F7" w:rsidRPr="00947CC1">
        <w:rPr>
          <w:rFonts w:ascii="Times New Roman" w:eastAsia="Times New Roman" w:hAnsi="Times New Roman" w:cs="Times New Roman"/>
          <w:sz w:val="24"/>
          <w:szCs w:val="24"/>
          <w:lang w:eastAsia="pt-BR"/>
        </w:rPr>
        <w:t xml:space="preserve"> ju</w:t>
      </w:r>
      <w:r w:rsidR="004D62F7">
        <w:rPr>
          <w:rFonts w:ascii="Times New Roman" w:eastAsia="Times New Roman" w:hAnsi="Times New Roman" w:cs="Times New Roman"/>
          <w:sz w:val="24"/>
          <w:szCs w:val="24"/>
          <w:lang w:eastAsia="pt-BR"/>
        </w:rPr>
        <w:t>n</w:t>
      </w:r>
      <w:r w:rsidRPr="00947CC1">
        <w:rPr>
          <w:rFonts w:ascii="Times New Roman" w:eastAsia="Times New Roman" w:hAnsi="Times New Roman" w:cs="Times New Roman"/>
          <w:sz w:val="24"/>
          <w:szCs w:val="24"/>
          <w:lang w:eastAsia="pt-BR"/>
        </w:rPr>
        <w:t xml:space="preserve">. </w:t>
      </w:r>
      <w:r w:rsidR="004D62F7" w:rsidRPr="00947CC1">
        <w:rPr>
          <w:rFonts w:ascii="Times New Roman" w:eastAsia="Times New Roman" w:hAnsi="Times New Roman" w:cs="Times New Roman"/>
          <w:sz w:val="24"/>
          <w:szCs w:val="24"/>
          <w:lang w:eastAsia="pt-BR"/>
        </w:rPr>
        <w:t>202</w:t>
      </w:r>
      <w:r w:rsidR="004D62F7">
        <w:rPr>
          <w:rFonts w:ascii="Times New Roman" w:eastAsia="Times New Roman" w:hAnsi="Times New Roman" w:cs="Times New Roman"/>
          <w:sz w:val="24"/>
          <w:szCs w:val="24"/>
          <w:lang w:eastAsia="pt-BR"/>
        </w:rPr>
        <w:t>1</w:t>
      </w:r>
      <w:r w:rsidRPr="00947CC1">
        <w:rPr>
          <w:rFonts w:ascii="Times New Roman" w:eastAsia="Times New Roman" w:hAnsi="Times New Roman" w:cs="Times New Roman"/>
          <w:sz w:val="24"/>
          <w:szCs w:val="24"/>
          <w:lang w:eastAsia="pt-BR"/>
        </w:rPr>
        <w:t>.</w:t>
      </w:r>
    </w:p>
    <w:p w14:paraId="5FF3CBED" w14:textId="736C62C0" w:rsidR="000047BE" w:rsidRPr="00947CC1" w:rsidRDefault="000047BE" w:rsidP="000047BE">
      <w:pPr>
        <w:shd w:val="clear" w:color="auto" w:fill="FFFFFF"/>
        <w:textAlignment w:val="baseline"/>
        <w:rPr>
          <w:rFonts w:ascii="Times New Roman" w:hAnsi="Times New Roman" w:cs="Times New Roman"/>
          <w:sz w:val="24"/>
          <w:szCs w:val="24"/>
        </w:rPr>
      </w:pPr>
      <w:r>
        <w:rPr>
          <w:rFonts w:ascii="Times New Roman" w:hAnsi="Times New Roman" w:cs="Times New Roman"/>
          <w:color w:val="000000" w:themeColor="text1"/>
          <w:sz w:val="24"/>
          <w:szCs w:val="24"/>
        </w:rPr>
        <w:t xml:space="preserve">OIM. </w:t>
      </w:r>
      <w:r w:rsidRPr="000C484D">
        <w:rPr>
          <w:rFonts w:ascii="Times New Roman" w:hAnsi="Times New Roman" w:cs="Times New Roman"/>
          <w:b/>
          <w:color w:val="000000" w:themeColor="text1"/>
          <w:sz w:val="24"/>
          <w:szCs w:val="24"/>
        </w:rPr>
        <w:t xml:space="preserve">COVID-19 </w:t>
      </w:r>
      <w:proofErr w:type="spellStart"/>
      <w:r w:rsidRPr="000C484D">
        <w:rPr>
          <w:rFonts w:ascii="Times New Roman" w:hAnsi="Times New Roman" w:cs="Times New Roman"/>
          <w:b/>
          <w:color w:val="000000" w:themeColor="text1"/>
          <w:sz w:val="24"/>
          <w:szCs w:val="24"/>
        </w:rPr>
        <w:t>and</w:t>
      </w:r>
      <w:proofErr w:type="spellEnd"/>
      <w:r w:rsidRPr="000C484D">
        <w:rPr>
          <w:rFonts w:ascii="Times New Roman" w:hAnsi="Times New Roman" w:cs="Times New Roman"/>
          <w:b/>
          <w:color w:val="000000" w:themeColor="text1"/>
          <w:sz w:val="24"/>
          <w:szCs w:val="24"/>
        </w:rPr>
        <w:t xml:space="preserve"> </w:t>
      </w:r>
      <w:proofErr w:type="spellStart"/>
      <w:r w:rsidRPr="000C484D">
        <w:rPr>
          <w:rFonts w:ascii="Times New Roman" w:hAnsi="Times New Roman" w:cs="Times New Roman"/>
          <w:b/>
          <w:color w:val="000000" w:themeColor="text1"/>
          <w:sz w:val="24"/>
          <w:szCs w:val="24"/>
        </w:rPr>
        <w:t>the</w:t>
      </w:r>
      <w:proofErr w:type="spellEnd"/>
      <w:r w:rsidRPr="000C484D">
        <w:rPr>
          <w:rFonts w:ascii="Times New Roman" w:hAnsi="Times New Roman" w:cs="Times New Roman"/>
          <w:b/>
          <w:color w:val="000000" w:themeColor="text1"/>
          <w:sz w:val="24"/>
          <w:szCs w:val="24"/>
        </w:rPr>
        <w:t xml:space="preserve"> </w:t>
      </w:r>
      <w:proofErr w:type="spellStart"/>
      <w:r w:rsidRPr="000C484D">
        <w:rPr>
          <w:rFonts w:ascii="Times New Roman" w:hAnsi="Times New Roman" w:cs="Times New Roman"/>
          <w:b/>
          <w:color w:val="000000" w:themeColor="text1"/>
          <w:sz w:val="24"/>
          <w:szCs w:val="24"/>
        </w:rPr>
        <w:t>State</w:t>
      </w:r>
      <w:proofErr w:type="spellEnd"/>
      <w:r w:rsidRPr="000C484D">
        <w:rPr>
          <w:rFonts w:ascii="Times New Roman" w:hAnsi="Times New Roman" w:cs="Times New Roman"/>
          <w:b/>
          <w:color w:val="000000" w:themeColor="text1"/>
          <w:sz w:val="24"/>
          <w:szCs w:val="24"/>
        </w:rPr>
        <w:t xml:space="preserve"> </w:t>
      </w:r>
      <w:proofErr w:type="spellStart"/>
      <w:r w:rsidRPr="000C484D">
        <w:rPr>
          <w:rFonts w:ascii="Times New Roman" w:hAnsi="Times New Roman" w:cs="Times New Roman"/>
          <w:b/>
          <w:color w:val="000000" w:themeColor="text1"/>
          <w:sz w:val="24"/>
          <w:szCs w:val="24"/>
        </w:rPr>
        <w:t>of</w:t>
      </w:r>
      <w:proofErr w:type="spellEnd"/>
      <w:r w:rsidRPr="000C484D">
        <w:rPr>
          <w:rFonts w:ascii="Times New Roman" w:hAnsi="Times New Roman" w:cs="Times New Roman"/>
          <w:b/>
          <w:color w:val="000000" w:themeColor="text1"/>
          <w:sz w:val="24"/>
          <w:szCs w:val="24"/>
        </w:rPr>
        <w:t xml:space="preserve"> Global </w:t>
      </w:r>
      <w:proofErr w:type="spellStart"/>
      <w:r w:rsidRPr="000C484D">
        <w:rPr>
          <w:rFonts w:ascii="Times New Roman" w:hAnsi="Times New Roman" w:cs="Times New Roman"/>
          <w:b/>
          <w:color w:val="000000" w:themeColor="text1"/>
          <w:sz w:val="24"/>
          <w:szCs w:val="24"/>
        </w:rPr>
        <w:t>Mobility</w:t>
      </w:r>
      <w:proofErr w:type="spellEnd"/>
      <w:r w:rsidRPr="000C484D">
        <w:rPr>
          <w:rFonts w:ascii="Times New Roman" w:hAnsi="Times New Roman" w:cs="Times New Roman"/>
          <w:b/>
          <w:color w:val="000000" w:themeColor="text1"/>
          <w:sz w:val="24"/>
          <w:szCs w:val="24"/>
        </w:rPr>
        <w:t xml:space="preserve"> in 2020</w:t>
      </w:r>
      <w:r>
        <w:rPr>
          <w:rFonts w:ascii="Times New Roman" w:hAnsi="Times New Roman" w:cs="Times New Roman"/>
          <w:color w:val="000000" w:themeColor="text1"/>
          <w:sz w:val="24"/>
          <w:szCs w:val="24"/>
        </w:rPr>
        <w:t xml:space="preserve">. Genebra: </w:t>
      </w:r>
      <w:r w:rsidRPr="00947CC1">
        <w:rPr>
          <w:rFonts w:ascii="Times New Roman" w:hAnsi="Times New Roman" w:cs="Times New Roman"/>
          <w:sz w:val="24"/>
          <w:szCs w:val="24"/>
        </w:rPr>
        <w:t>Organização Internacional para as Migrações, 20</w:t>
      </w:r>
      <w:r>
        <w:rPr>
          <w:rFonts w:ascii="Times New Roman" w:hAnsi="Times New Roman" w:cs="Times New Roman"/>
          <w:sz w:val="24"/>
          <w:szCs w:val="24"/>
        </w:rPr>
        <w:t>2</w:t>
      </w:r>
      <w:r w:rsidRPr="00947CC1">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rPr>
        <w:t>Disponível em: &lt;</w:t>
      </w:r>
      <w:r w:rsidRPr="000C484D">
        <w:rPr>
          <w:rFonts w:ascii="Times New Roman" w:hAnsi="Times New Roman" w:cs="Times New Roman"/>
          <w:color w:val="000000" w:themeColor="text1"/>
          <w:sz w:val="24"/>
          <w:szCs w:val="24"/>
        </w:rPr>
        <w:t>https://brazil.iom.int/sites/brazil/files/Publications/covid-19-and-the-state-of-global.pdf</w:t>
      </w:r>
      <w:r>
        <w:rPr>
          <w:rFonts w:ascii="Times New Roman" w:eastAsia="Times New Roman" w:hAnsi="Times New Roman" w:cs="Times New Roman"/>
          <w:sz w:val="24"/>
          <w:szCs w:val="24"/>
        </w:rPr>
        <w:t>&gt;. Acesso em 02 de jun. 2021.</w:t>
      </w:r>
    </w:p>
    <w:p w14:paraId="6BCEE549" w14:textId="1D03B175" w:rsidR="009945A5" w:rsidRPr="00947CC1" w:rsidRDefault="007949BA" w:rsidP="00406042">
      <w:pPr>
        <w:spacing w:before="100" w:afterLines="100" w:after="240" w:line="240" w:lineRule="auto"/>
        <w:rPr>
          <w:rFonts w:ascii="Times New Roman" w:hAnsi="Times New Roman" w:cs="Times New Roman"/>
          <w:sz w:val="24"/>
          <w:szCs w:val="24"/>
        </w:rPr>
      </w:pPr>
      <w:r w:rsidRPr="00947CC1">
        <w:rPr>
          <w:rFonts w:ascii="Times New Roman" w:hAnsi="Times New Roman" w:cs="Times New Roman"/>
          <w:sz w:val="24"/>
          <w:szCs w:val="24"/>
        </w:rPr>
        <w:t xml:space="preserve">OIM. </w:t>
      </w:r>
      <w:r w:rsidRPr="00947CC1">
        <w:rPr>
          <w:rFonts w:ascii="Times New Roman" w:hAnsi="Times New Roman" w:cs="Times New Roman"/>
          <w:b/>
          <w:sz w:val="24"/>
          <w:szCs w:val="24"/>
        </w:rPr>
        <w:t>Direito Internacional da Migração: Glossário sobre Migrações</w:t>
      </w:r>
      <w:r w:rsidRPr="00947CC1">
        <w:rPr>
          <w:rFonts w:ascii="Times New Roman" w:hAnsi="Times New Roman" w:cs="Times New Roman"/>
          <w:sz w:val="24"/>
          <w:szCs w:val="24"/>
        </w:rPr>
        <w:t xml:space="preserve">. Genebra: </w:t>
      </w:r>
      <w:bookmarkStart w:id="2" w:name="_Hlk73536124"/>
      <w:r w:rsidRPr="00947CC1">
        <w:rPr>
          <w:rFonts w:ascii="Times New Roman" w:hAnsi="Times New Roman" w:cs="Times New Roman"/>
          <w:sz w:val="24"/>
          <w:szCs w:val="24"/>
        </w:rPr>
        <w:t>Organização Internacional para as Migrações, 2019.</w:t>
      </w:r>
      <w:bookmarkEnd w:id="2"/>
      <w:r w:rsidR="004C2F0B">
        <w:rPr>
          <w:rFonts w:ascii="Times New Roman" w:hAnsi="Times New Roman" w:cs="Times New Roman"/>
          <w:sz w:val="24"/>
          <w:szCs w:val="24"/>
        </w:rPr>
        <w:t xml:space="preserve"> Disponível em: &lt;</w:t>
      </w:r>
      <w:r w:rsidR="004C2F0B" w:rsidRPr="004C2F0B">
        <w:rPr>
          <w:rFonts w:ascii="Times New Roman" w:hAnsi="Times New Roman" w:cs="Times New Roman"/>
          <w:sz w:val="24"/>
          <w:szCs w:val="24"/>
        </w:rPr>
        <w:t>https://publications.iom.int/system/files/pdf/iml_34_glossary.pdf</w:t>
      </w:r>
      <w:r w:rsidR="004C2F0B">
        <w:rPr>
          <w:rFonts w:ascii="Times New Roman" w:hAnsi="Times New Roman" w:cs="Times New Roman"/>
          <w:sz w:val="24"/>
          <w:szCs w:val="24"/>
        </w:rPr>
        <w:t>&gt;. Acesso em 04 jun. 2021.</w:t>
      </w:r>
    </w:p>
    <w:p w14:paraId="016644E9" w14:textId="602CAFB4" w:rsidR="00FE6134" w:rsidRPr="00F356DD" w:rsidRDefault="00FE6134" w:rsidP="00406042">
      <w:pPr>
        <w:spacing w:before="100" w:afterLines="100" w:after="240" w:line="240" w:lineRule="auto"/>
        <w:rPr>
          <w:rFonts w:ascii="Times New Roman" w:hAnsi="Times New Roman" w:cs="Times New Roman"/>
          <w:sz w:val="24"/>
          <w:szCs w:val="24"/>
          <w:lang w:val="en-US"/>
        </w:rPr>
      </w:pPr>
      <w:r w:rsidRPr="00947CC1">
        <w:rPr>
          <w:rFonts w:ascii="Times New Roman" w:hAnsi="Times New Roman" w:cs="Times New Roman"/>
          <w:sz w:val="24"/>
          <w:szCs w:val="24"/>
          <w:lang w:val="en-US"/>
        </w:rPr>
        <w:t xml:space="preserve">OIM. </w:t>
      </w:r>
      <w:r w:rsidRPr="00947CC1">
        <w:rPr>
          <w:rFonts w:ascii="Times New Roman" w:hAnsi="Times New Roman" w:cs="Times New Roman"/>
          <w:b/>
          <w:sz w:val="24"/>
          <w:szCs w:val="24"/>
          <w:lang w:val="en-US"/>
        </w:rPr>
        <w:t>Migrations Trends in South America (march 2020).</w:t>
      </w:r>
      <w:r w:rsidRPr="00947CC1">
        <w:rPr>
          <w:rFonts w:ascii="Times New Roman" w:hAnsi="Times New Roman" w:cs="Times New Roman"/>
          <w:sz w:val="24"/>
          <w:szCs w:val="24"/>
          <w:lang w:val="en-US"/>
        </w:rPr>
        <w:t xml:space="preserve"> </w:t>
      </w:r>
      <w:r w:rsidR="00E4479C" w:rsidRPr="00176316">
        <w:rPr>
          <w:rFonts w:ascii="Times New Roman" w:hAnsi="Times New Roman" w:cs="Times New Roman"/>
          <w:sz w:val="24"/>
          <w:szCs w:val="24"/>
          <w:lang w:val="en-US"/>
        </w:rPr>
        <w:t>South American Migration Report nº 3, 2020</w:t>
      </w:r>
      <w:r w:rsidRPr="00176316">
        <w:rPr>
          <w:rFonts w:ascii="Times New Roman" w:hAnsi="Times New Roman" w:cs="Times New Roman"/>
          <w:sz w:val="24"/>
          <w:szCs w:val="24"/>
          <w:lang w:val="en-US"/>
        </w:rPr>
        <w:t>.</w:t>
      </w:r>
      <w:r w:rsidR="00176316" w:rsidRPr="00F83317">
        <w:rPr>
          <w:rFonts w:ascii="Times New Roman" w:hAnsi="Times New Roman" w:cs="Times New Roman"/>
          <w:sz w:val="24"/>
          <w:szCs w:val="24"/>
          <w:lang w:val="en-US"/>
        </w:rPr>
        <w:t xml:space="preserve"> </w:t>
      </w:r>
      <w:r w:rsidRPr="00947CC1">
        <w:rPr>
          <w:rFonts w:ascii="Times New Roman" w:hAnsi="Times New Roman" w:cs="Times New Roman"/>
          <w:sz w:val="24"/>
          <w:szCs w:val="24"/>
        </w:rPr>
        <w:t>Disponível em: &lt;</w:t>
      </w:r>
      <w:r w:rsidR="00C70B17" w:rsidRPr="00C70B17">
        <w:rPr>
          <w:rFonts w:ascii="Times New Roman" w:hAnsi="Times New Roman" w:cs="Times New Roman"/>
          <w:sz w:val="24"/>
          <w:szCs w:val="24"/>
        </w:rPr>
        <w:t>https://robuenosaires.iom.int/sites/robuenosaires/files/Informes/Migration_Trends_final.pdf</w:t>
      </w:r>
      <w:r w:rsidRPr="00947CC1">
        <w:rPr>
          <w:rFonts w:ascii="Times New Roman" w:hAnsi="Times New Roman" w:cs="Times New Roman"/>
          <w:sz w:val="24"/>
          <w:szCs w:val="24"/>
        </w:rPr>
        <w:t xml:space="preserve">&gt;. </w:t>
      </w:r>
      <w:proofErr w:type="spellStart"/>
      <w:r w:rsidRPr="00F356DD">
        <w:rPr>
          <w:rFonts w:ascii="Times New Roman" w:hAnsi="Times New Roman" w:cs="Times New Roman"/>
          <w:sz w:val="24"/>
          <w:szCs w:val="24"/>
          <w:lang w:val="en-US"/>
        </w:rPr>
        <w:t>Acesso</w:t>
      </w:r>
      <w:proofErr w:type="spellEnd"/>
      <w:r w:rsidRPr="00F356DD">
        <w:rPr>
          <w:rFonts w:ascii="Times New Roman" w:hAnsi="Times New Roman" w:cs="Times New Roman"/>
          <w:sz w:val="24"/>
          <w:szCs w:val="24"/>
          <w:lang w:val="en-US"/>
        </w:rPr>
        <w:t xml:space="preserve"> </w:t>
      </w:r>
      <w:proofErr w:type="spellStart"/>
      <w:r w:rsidRPr="00F356DD">
        <w:rPr>
          <w:rFonts w:ascii="Times New Roman" w:hAnsi="Times New Roman" w:cs="Times New Roman"/>
          <w:sz w:val="24"/>
          <w:szCs w:val="24"/>
          <w:lang w:val="en-US"/>
        </w:rPr>
        <w:t>em</w:t>
      </w:r>
      <w:proofErr w:type="spellEnd"/>
      <w:r w:rsidRPr="00F356DD">
        <w:rPr>
          <w:rFonts w:ascii="Times New Roman" w:hAnsi="Times New Roman" w:cs="Times New Roman"/>
          <w:sz w:val="24"/>
          <w:szCs w:val="24"/>
          <w:lang w:val="en-US"/>
        </w:rPr>
        <w:t xml:space="preserve"> </w:t>
      </w:r>
      <w:r w:rsidR="00994D2B">
        <w:rPr>
          <w:rFonts w:ascii="Times New Roman" w:hAnsi="Times New Roman" w:cs="Times New Roman"/>
          <w:sz w:val="24"/>
          <w:szCs w:val="24"/>
          <w:lang w:val="en-US"/>
        </w:rPr>
        <w:t>01</w:t>
      </w:r>
      <w:r w:rsidRPr="00F356DD">
        <w:rPr>
          <w:rFonts w:ascii="Times New Roman" w:hAnsi="Times New Roman" w:cs="Times New Roman"/>
          <w:sz w:val="24"/>
          <w:szCs w:val="24"/>
          <w:lang w:val="en-US"/>
        </w:rPr>
        <w:t xml:space="preserve"> ju</w:t>
      </w:r>
      <w:r w:rsidR="00C70B17">
        <w:rPr>
          <w:rFonts w:ascii="Times New Roman" w:hAnsi="Times New Roman" w:cs="Times New Roman"/>
          <w:sz w:val="24"/>
          <w:szCs w:val="24"/>
          <w:lang w:val="en-US"/>
        </w:rPr>
        <w:t>n</w:t>
      </w:r>
      <w:r w:rsidRPr="00F356DD">
        <w:rPr>
          <w:rFonts w:ascii="Times New Roman" w:hAnsi="Times New Roman" w:cs="Times New Roman"/>
          <w:sz w:val="24"/>
          <w:szCs w:val="24"/>
          <w:lang w:val="en-US"/>
        </w:rPr>
        <w:t>. 202</w:t>
      </w:r>
      <w:r w:rsidR="00C70B17">
        <w:rPr>
          <w:rFonts w:ascii="Times New Roman" w:hAnsi="Times New Roman" w:cs="Times New Roman"/>
          <w:sz w:val="24"/>
          <w:szCs w:val="24"/>
          <w:lang w:val="en-US"/>
        </w:rPr>
        <w:t>1</w:t>
      </w:r>
      <w:r w:rsidRPr="00F356DD">
        <w:rPr>
          <w:rFonts w:ascii="Times New Roman" w:hAnsi="Times New Roman" w:cs="Times New Roman"/>
          <w:sz w:val="24"/>
          <w:szCs w:val="24"/>
          <w:lang w:val="en-US"/>
        </w:rPr>
        <w:t>.</w:t>
      </w:r>
    </w:p>
    <w:p w14:paraId="2AD1E6B9" w14:textId="77777777" w:rsidR="007949BA" w:rsidRPr="00947CC1" w:rsidRDefault="007949BA" w:rsidP="00406042">
      <w:pPr>
        <w:spacing w:before="100" w:afterLines="100" w:after="240" w:line="240" w:lineRule="auto"/>
        <w:rPr>
          <w:rFonts w:ascii="Times New Roman" w:hAnsi="Times New Roman" w:cs="Times New Roman"/>
          <w:sz w:val="24"/>
          <w:szCs w:val="24"/>
          <w:lang w:val="en-US"/>
        </w:rPr>
      </w:pPr>
      <w:r w:rsidRPr="00947CC1">
        <w:rPr>
          <w:rFonts w:ascii="Times New Roman" w:hAnsi="Times New Roman" w:cs="Times New Roman"/>
          <w:sz w:val="24"/>
          <w:szCs w:val="24"/>
          <w:lang w:val="en-US"/>
        </w:rPr>
        <w:t xml:space="preserve">OIM. </w:t>
      </w:r>
      <w:r w:rsidRPr="00947CC1">
        <w:rPr>
          <w:rFonts w:ascii="Times New Roman" w:hAnsi="Times New Roman" w:cs="Times New Roman"/>
          <w:b/>
          <w:sz w:val="24"/>
          <w:szCs w:val="24"/>
          <w:lang w:val="en-US"/>
        </w:rPr>
        <w:t>World migration report 2018.</w:t>
      </w:r>
      <w:r w:rsidRPr="00947CC1">
        <w:rPr>
          <w:rFonts w:ascii="Times New Roman" w:hAnsi="Times New Roman" w:cs="Times New Roman"/>
          <w:sz w:val="24"/>
          <w:szCs w:val="24"/>
          <w:lang w:val="en-US"/>
        </w:rPr>
        <w:t xml:space="preserve"> </w:t>
      </w:r>
      <w:proofErr w:type="spellStart"/>
      <w:r w:rsidRPr="00947CC1">
        <w:rPr>
          <w:rFonts w:ascii="Times New Roman" w:hAnsi="Times New Roman" w:cs="Times New Roman"/>
          <w:sz w:val="24"/>
          <w:szCs w:val="24"/>
          <w:lang w:val="en-US"/>
        </w:rPr>
        <w:t>Genebra</w:t>
      </w:r>
      <w:proofErr w:type="spellEnd"/>
      <w:r w:rsidRPr="00947CC1">
        <w:rPr>
          <w:rFonts w:ascii="Times New Roman" w:hAnsi="Times New Roman" w:cs="Times New Roman"/>
          <w:sz w:val="24"/>
          <w:szCs w:val="24"/>
          <w:lang w:val="en-US"/>
        </w:rPr>
        <w:t>: OIM, 2018.</w:t>
      </w:r>
    </w:p>
    <w:p w14:paraId="518D113C"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RENN</w:t>
      </w:r>
      <w:r w:rsidRPr="00947CC1">
        <w:rPr>
          <w:rFonts w:ascii="Times New Roman" w:hAnsi="Times New Roman" w:cs="Times New Roman"/>
          <w:noProof/>
          <w:sz w:val="24"/>
          <w:szCs w:val="24"/>
          <w:lang w:val="en-US"/>
        </w:rPr>
        <w:t xml:space="preserve">, O. Concepts of risk: a classification. </w:t>
      </w:r>
      <w:r w:rsidRPr="00947CC1">
        <w:rPr>
          <w:rFonts w:ascii="Times New Roman" w:hAnsi="Times New Roman" w:cs="Times New Roman"/>
          <w:b/>
          <w:noProof/>
          <w:sz w:val="24"/>
          <w:szCs w:val="24"/>
          <w:lang w:val="en-US"/>
        </w:rPr>
        <w:t>Social theories of risk</w:t>
      </w:r>
      <w:r w:rsidRPr="00947CC1">
        <w:rPr>
          <w:rFonts w:ascii="Times New Roman" w:hAnsi="Times New Roman" w:cs="Times New Roman"/>
          <w:noProof/>
          <w:sz w:val="24"/>
          <w:szCs w:val="24"/>
          <w:lang w:val="en-US"/>
        </w:rPr>
        <w:t>. Westport, Conn, p. 53-79, 1992. DOI</w:t>
      </w:r>
      <w:hyperlink r:id="rId15" w:history="1">
        <w:r w:rsidRPr="00947CC1">
          <w:rPr>
            <w:rFonts w:ascii="Times New Roman" w:hAnsi="Times New Roman" w:cs="Times New Roman"/>
            <w:noProof/>
            <w:sz w:val="24"/>
            <w:szCs w:val="24"/>
            <w:lang w:val="en-US"/>
          </w:rPr>
          <w:t>: 10.18419/opus-7248</w:t>
        </w:r>
      </w:hyperlink>
      <w:r w:rsidRPr="00947CC1">
        <w:rPr>
          <w:rFonts w:ascii="Times New Roman" w:hAnsi="Times New Roman" w:cs="Times New Roman"/>
          <w:noProof/>
          <w:sz w:val="24"/>
          <w:szCs w:val="24"/>
          <w:lang w:val="en-US"/>
        </w:rPr>
        <w:t>.</w:t>
      </w:r>
    </w:p>
    <w:p w14:paraId="2BDB1652"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t>RENN</w:t>
      </w:r>
      <w:r w:rsidRPr="00947CC1">
        <w:rPr>
          <w:rFonts w:ascii="Times New Roman" w:hAnsi="Times New Roman" w:cs="Times New Roman"/>
          <w:noProof/>
          <w:sz w:val="24"/>
          <w:szCs w:val="24"/>
          <w:lang w:val="en-US"/>
        </w:rPr>
        <w:t xml:space="preserve">, O. </w:t>
      </w:r>
      <w:r w:rsidRPr="00947CC1">
        <w:rPr>
          <w:rFonts w:ascii="Times New Roman" w:hAnsi="Times New Roman" w:cs="Times New Roman"/>
          <w:b/>
          <w:noProof/>
          <w:sz w:val="24"/>
          <w:szCs w:val="24"/>
          <w:lang w:val="en-US"/>
        </w:rPr>
        <w:t>Risk Governance. Coping with Uncertainty in a Complex World</w:t>
      </w:r>
      <w:r w:rsidRPr="00947CC1">
        <w:rPr>
          <w:rFonts w:ascii="Times New Roman" w:hAnsi="Times New Roman" w:cs="Times New Roman"/>
          <w:noProof/>
          <w:sz w:val="24"/>
          <w:szCs w:val="24"/>
          <w:lang w:val="en-US"/>
        </w:rPr>
        <w:t>. Ed. Routledge, London, 2008.</w:t>
      </w:r>
    </w:p>
    <w:p w14:paraId="0EF4145E" w14:textId="77777777" w:rsidR="007949BA" w:rsidRPr="00947CC1" w:rsidRDefault="007949BA" w:rsidP="00406042">
      <w:pPr>
        <w:spacing w:before="100" w:afterLines="100" w:after="240" w:line="240" w:lineRule="auto"/>
        <w:rPr>
          <w:rFonts w:ascii="Times New Roman" w:hAnsi="Times New Roman" w:cs="Times New Roman"/>
          <w:noProof/>
          <w:sz w:val="24"/>
          <w:szCs w:val="24"/>
          <w:lang w:val="en-US"/>
        </w:rPr>
      </w:pPr>
      <w:r w:rsidRPr="00947CC1">
        <w:rPr>
          <w:rFonts w:ascii="Times New Roman" w:hAnsi="Times New Roman" w:cs="Times New Roman"/>
          <w:sz w:val="24"/>
          <w:szCs w:val="24"/>
          <w:lang w:val="en-US"/>
        </w:rPr>
        <w:lastRenderedPageBreak/>
        <w:t>RENN</w:t>
      </w:r>
      <w:r w:rsidRPr="00947CC1">
        <w:rPr>
          <w:rFonts w:ascii="Times New Roman" w:hAnsi="Times New Roman" w:cs="Times New Roman"/>
          <w:noProof/>
          <w:sz w:val="24"/>
          <w:szCs w:val="24"/>
          <w:lang w:val="en-US"/>
        </w:rPr>
        <w:t xml:space="preserve">, O. Three decades of risk research: accomplishments and new challenges. </w:t>
      </w:r>
      <w:r w:rsidRPr="00947CC1">
        <w:rPr>
          <w:rFonts w:ascii="Times New Roman" w:hAnsi="Times New Roman" w:cs="Times New Roman"/>
          <w:b/>
          <w:noProof/>
          <w:sz w:val="24"/>
          <w:szCs w:val="24"/>
          <w:lang w:val="en-US"/>
        </w:rPr>
        <w:t>Journal of Risk Research</w:t>
      </w:r>
      <w:r w:rsidRPr="00947CC1">
        <w:rPr>
          <w:rFonts w:ascii="Times New Roman" w:hAnsi="Times New Roman" w:cs="Times New Roman"/>
          <w:noProof/>
          <w:sz w:val="24"/>
          <w:szCs w:val="24"/>
          <w:lang w:val="en-US"/>
        </w:rPr>
        <w:t>, v. 1(1), p. 49-71, 1998. DOI:</w:t>
      </w:r>
      <w:hyperlink r:id="rId16" w:history="1">
        <w:r w:rsidRPr="00947CC1">
          <w:rPr>
            <w:rFonts w:ascii="Times New Roman" w:hAnsi="Times New Roman" w:cs="Times New Roman"/>
            <w:noProof/>
            <w:sz w:val="24"/>
            <w:szCs w:val="24"/>
            <w:lang w:val="en-US"/>
          </w:rPr>
          <w:t>10.1080/136698798377321</w:t>
        </w:r>
      </w:hyperlink>
    </w:p>
    <w:p w14:paraId="74DF7D42" w14:textId="77777777" w:rsidR="00255284" w:rsidRPr="00255284" w:rsidRDefault="00255284" w:rsidP="00255284">
      <w:pPr>
        <w:spacing w:before="100" w:afterLines="100" w:after="240" w:line="240" w:lineRule="auto"/>
        <w:rPr>
          <w:rFonts w:ascii="Times New Roman" w:hAnsi="Times New Roman" w:cs="Times New Roman"/>
          <w:noProof/>
          <w:sz w:val="24"/>
          <w:szCs w:val="24"/>
          <w:lang w:val="en-US"/>
        </w:rPr>
      </w:pPr>
      <w:r w:rsidRPr="00255284">
        <w:rPr>
          <w:rFonts w:ascii="Times New Roman" w:hAnsi="Times New Roman" w:cs="Times New Roman"/>
          <w:noProof/>
          <w:sz w:val="24"/>
          <w:szCs w:val="24"/>
          <w:lang w:val="en-US"/>
        </w:rPr>
        <w:t>TORELLY, Marcelo; KHOURY, Aline; VEDOVATO, Luís Renato; GONÇALVES, Veronica Korber. Visões do Contexto Migratório no Brasil. Volume I. Brasília: Organização Internacional para as Migrações, Agência das Nações Unidas Para as Migrações, 2017. Disponível em: &lt;https://portaldeimigracao.mj.gov.br/images/publicacoes/visoes_do_contexto_migratorio_no_brasil_VOLUME1.pdf&gt;. Acesso em 04 de jun. 2021.</w:t>
      </w:r>
    </w:p>
    <w:p w14:paraId="44BE260D" w14:textId="69DF84D5" w:rsidR="007949BA" w:rsidRPr="00947CC1" w:rsidRDefault="007949BA" w:rsidP="00406042">
      <w:pPr>
        <w:spacing w:before="100" w:afterLines="100" w:after="240" w:line="240" w:lineRule="auto"/>
        <w:rPr>
          <w:rFonts w:ascii="Times New Roman" w:hAnsi="Times New Roman" w:cs="Times New Roman"/>
          <w:b/>
          <w:sz w:val="24"/>
          <w:szCs w:val="24"/>
          <w:lang w:val="en-US"/>
        </w:rPr>
      </w:pPr>
      <w:r w:rsidRPr="00947CC1">
        <w:rPr>
          <w:rFonts w:ascii="Times New Roman" w:hAnsi="Times New Roman" w:cs="Times New Roman"/>
          <w:sz w:val="24"/>
          <w:szCs w:val="24"/>
          <w:lang w:val="en-US"/>
        </w:rPr>
        <w:t>UNITED</w:t>
      </w:r>
      <w:r w:rsidRPr="00947CC1">
        <w:rPr>
          <w:rFonts w:ascii="Times New Roman" w:hAnsi="Times New Roman" w:cs="Times New Roman"/>
          <w:noProof/>
          <w:sz w:val="24"/>
          <w:szCs w:val="24"/>
          <w:lang w:val="en-US"/>
        </w:rPr>
        <w:t xml:space="preserve"> </w:t>
      </w:r>
      <w:r w:rsidR="00C70B17" w:rsidRPr="00947CC1">
        <w:rPr>
          <w:rFonts w:ascii="Times New Roman" w:hAnsi="Times New Roman" w:cs="Times New Roman"/>
          <w:noProof/>
          <w:sz w:val="24"/>
          <w:szCs w:val="24"/>
          <w:lang w:val="en-US"/>
        </w:rPr>
        <w:t>KINGDO</w:t>
      </w:r>
      <w:r w:rsidR="00C70B17">
        <w:rPr>
          <w:rFonts w:ascii="Times New Roman" w:hAnsi="Times New Roman" w:cs="Times New Roman"/>
          <w:noProof/>
          <w:sz w:val="24"/>
          <w:szCs w:val="24"/>
          <w:lang w:val="en-US"/>
        </w:rPr>
        <w:t>M</w:t>
      </w:r>
      <w:r w:rsidRPr="00947CC1">
        <w:rPr>
          <w:rFonts w:ascii="Times New Roman" w:hAnsi="Times New Roman" w:cs="Times New Roman"/>
          <w:noProof/>
          <w:sz w:val="24"/>
          <w:szCs w:val="24"/>
          <w:lang w:val="en-US"/>
        </w:rPr>
        <w:t xml:space="preserve">. </w:t>
      </w:r>
      <w:r w:rsidRPr="00947CC1">
        <w:rPr>
          <w:rFonts w:ascii="Times New Roman" w:hAnsi="Times New Roman" w:cs="Times New Roman"/>
          <w:b/>
          <w:noProof/>
          <w:sz w:val="24"/>
          <w:szCs w:val="24"/>
          <w:lang w:val="en-US"/>
        </w:rPr>
        <w:t>The Orange Book Management of Risk – Principles and Concepts</w:t>
      </w:r>
      <w:r w:rsidRPr="00947CC1">
        <w:rPr>
          <w:rFonts w:ascii="Times New Roman" w:hAnsi="Times New Roman" w:cs="Times New Roman"/>
          <w:noProof/>
          <w:sz w:val="24"/>
          <w:szCs w:val="24"/>
          <w:lang w:val="en-US"/>
        </w:rPr>
        <w:t>. HM Treasury, London, 2013.</w:t>
      </w:r>
    </w:p>
    <w:p w14:paraId="6B9F13FF" w14:textId="6AFEEE9A" w:rsidR="007A3D8F" w:rsidRDefault="007949BA" w:rsidP="00406042">
      <w:pPr>
        <w:spacing w:before="100" w:afterLines="100" w:after="240" w:line="240" w:lineRule="auto"/>
        <w:rPr>
          <w:rFonts w:ascii="Times New Roman" w:hAnsi="Times New Roman" w:cs="Times New Roman"/>
          <w:sz w:val="24"/>
          <w:szCs w:val="24"/>
          <w:lang w:val="en-US"/>
        </w:rPr>
      </w:pPr>
      <w:r w:rsidRPr="00947CC1">
        <w:rPr>
          <w:rFonts w:ascii="Times New Roman" w:hAnsi="Times New Roman" w:cs="Times New Roman"/>
          <w:sz w:val="24"/>
          <w:szCs w:val="24"/>
          <w:lang w:val="en-US"/>
        </w:rPr>
        <w:t xml:space="preserve">WILLIAMS, R. </w:t>
      </w:r>
      <w:r w:rsidRPr="00947CC1">
        <w:rPr>
          <w:rFonts w:ascii="Times New Roman" w:hAnsi="Times New Roman" w:cs="Times New Roman"/>
          <w:b/>
          <w:bCs/>
          <w:sz w:val="24"/>
          <w:szCs w:val="24"/>
          <w:lang w:val="en-US"/>
        </w:rPr>
        <w:t>Keywords: a vocabulary of culture and society</w:t>
      </w:r>
      <w:r w:rsidRPr="00947CC1">
        <w:rPr>
          <w:rFonts w:ascii="Times New Roman" w:hAnsi="Times New Roman" w:cs="Times New Roman"/>
          <w:sz w:val="24"/>
          <w:szCs w:val="24"/>
          <w:lang w:val="en-US"/>
        </w:rPr>
        <w:t>. Ed. Oxford University Press, New York, 1985.</w:t>
      </w:r>
    </w:p>
    <w:p w14:paraId="0D0F89DD" w14:textId="2828A227" w:rsidR="00D62A78" w:rsidRDefault="00D62A78" w:rsidP="00406042">
      <w:pPr>
        <w:spacing w:before="100" w:afterLines="100" w:after="240" w:line="240" w:lineRule="auto"/>
        <w:rPr>
          <w:rFonts w:ascii="Times New Roman" w:hAnsi="Times New Roman" w:cs="Times New Roman"/>
          <w:sz w:val="24"/>
          <w:szCs w:val="24"/>
          <w:lang w:val="en-US"/>
        </w:rPr>
      </w:pPr>
    </w:p>
    <w:p w14:paraId="39E174DB" w14:textId="194CC25D" w:rsidR="00D62A78" w:rsidRDefault="00D62A78" w:rsidP="00406042">
      <w:pPr>
        <w:spacing w:before="100" w:afterLines="100" w:after="240" w:line="240" w:lineRule="auto"/>
        <w:rPr>
          <w:rFonts w:ascii="Times New Roman" w:hAnsi="Times New Roman" w:cs="Times New Roman"/>
          <w:sz w:val="24"/>
          <w:szCs w:val="24"/>
          <w:lang w:val="en-US"/>
        </w:rPr>
      </w:pPr>
    </w:p>
    <w:p w14:paraId="30C9243B" w14:textId="2F7FB8FC" w:rsidR="00D62A78" w:rsidRDefault="00D62A78" w:rsidP="00406042">
      <w:pPr>
        <w:spacing w:before="100" w:afterLines="100" w:after="240" w:line="240" w:lineRule="auto"/>
        <w:rPr>
          <w:rFonts w:ascii="Times New Roman" w:hAnsi="Times New Roman" w:cs="Times New Roman"/>
          <w:sz w:val="24"/>
          <w:szCs w:val="24"/>
          <w:lang w:val="en-US"/>
        </w:rPr>
      </w:pPr>
    </w:p>
    <w:p w14:paraId="51E8754F" w14:textId="77777777" w:rsidR="00D62A78" w:rsidRPr="00947CC1" w:rsidRDefault="00D62A78" w:rsidP="00406042">
      <w:pPr>
        <w:spacing w:before="100" w:afterLines="100" w:after="240" w:line="240" w:lineRule="auto"/>
        <w:rPr>
          <w:rFonts w:ascii="Times New Roman" w:hAnsi="Times New Roman" w:cs="Times New Roman"/>
          <w:sz w:val="24"/>
          <w:szCs w:val="24"/>
          <w:lang w:val="en-US"/>
        </w:rPr>
      </w:pPr>
    </w:p>
    <w:sectPr w:rsidR="00D62A78" w:rsidRPr="00947CC1" w:rsidSect="002C528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B074" w14:textId="77777777" w:rsidR="001C3737" w:rsidRDefault="001C3737" w:rsidP="00EB6F02">
      <w:pPr>
        <w:spacing w:after="0" w:line="240" w:lineRule="auto"/>
      </w:pPr>
      <w:r>
        <w:separator/>
      </w:r>
    </w:p>
  </w:endnote>
  <w:endnote w:type="continuationSeparator" w:id="0">
    <w:p w14:paraId="178EFF51" w14:textId="77777777" w:rsidR="001C3737" w:rsidRDefault="001C3737" w:rsidP="00EB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19DE" w14:textId="77777777" w:rsidR="001C3737" w:rsidRDefault="001C3737" w:rsidP="00EB6F02">
      <w:pPr>
        <w:spacing w:after="0" w:line="240" w:lineRule="auto"/>
      </w:pPr>
      <w:r>
        <w:separator/>
      </w:r>
    </w:p>
  </w:footnote>
  <w:footnote w:type="continuationSeparator" w:id="0">
    <w:p w14:paraId="5DD14E30" w14:textId="77777777" w:rsidR="001C3737" w:rsidRDefault="001C3737" w:rsidP="00EB6F02">
      <w:pPr>
        <w:spacing w:after="0" w:line="240" w:lineRule="auto"/>
      </w:pPr>
      <w:r>
        <w:continuationSeparator/>
      </w:r>
    </w:p>
  </w:footnote>
  <w:footnote w:id="1">
    <w:p w14:paraId="049B6FC1" w14:textId="77777777" w:rsidR="009E264E" w:rsidRPr="00947CC1" w:rsidRDefault="009E264E" w:rsidP="009E264E">
      <w:pPr>
        <w:pStyle w:val="Textodenotaderodap"/>
        <w:spacing w:before="120" w:after="120"/>
        <w:jc w:val="both"/>
        <w:rPr>
          <w:rFonts w:ascii="Times New Roman" w:hAnsi="Times New Roman"/>
          <w:bCs/>
          <w:color w:val="000000"/>
          <w:lang w:eastAsia="pt-BR"/>
        </w:rPr>
      </w:pPr>
      <w:r w:rsidRPr="00947CC1">
        <w:rPr>
          <w:rStyle w:val="Refdenotaderodap"/>
          <w:rFonts w:ascii="Times New Roman" w:hAnsi="Times New Roman"/>
          <w:sz w:val="16"/>
        </w:rPr>
        <w:footnoteRef/>
      </w:r>
      <w:r w:rsidRPr="00947CC1">
        <w:rPr>
          <w:rFonts w:ascii="Times New Roman" w:hAnsi="Times New Roman"/>
          <w:bCs/>
          <w:color w:val="000000"/>
          <w:sz w:val="16"/>
          <w:lang w:eastAsia="pt-BR"/>
        </w:rPr>
        <w:t xml:space="preserve"> </w:t>
      </w:r>
      <w:r w:rsidRPr="00947CC1">
        <w:rPr>
          <w:rFonts w:ascii="Times New Roman" w:hAnsi="Times New Roman"/>
          <w:bCs/>
          <w:color w:val="000000"/>
          <w:sz w:val="16"/>
          <w:lang w:val="pt-BR" w:eastAsia="pt-BR"/>
        </w:rPr>
        <w:t xml:space="preserve">Mestre em Engenharia de Produção com ênfase em Gestão de Riscos na Segurança Pública pela Universidade Federal de Pernambuco. </w:t>
      </w:r>
      <w:r>
        <w:rPr>
          <w:rFonts w:ascii="Times New Roman" w:hAnsi="Times New Roman"/>
          <w:bCs/>
          <w:color w:val="000000"/>
          <w:sz w:val="16"/>
          <w:lang w:val="pt-BR" w:eastAsia="pt-BR"/>
        </w:rPr>
        <w:t xml:space="preserve">Agente de Polícia Federal lotado no Serviço de Análise Estratégica da Diretoria de Inteligência Policial. ORCID: </w:t>
      </w:r>
      <w:r w:rsidRPr="00851330">
        <w:rPr>
          <w:rFonts w:ascii="Times New Roman" w:hAnsi="Times New Roman"/>
          <w:bCs/>
          <w:color w:val="000000"/>
          <w:sz w:val="16"/>
          <w:lang w:val="pt-BR" w:eastAsia="pt-BR"/>
        </w:rPr>
        <w:t>0000-0003-4892-9081</w:t>
      </w:r>
      <w:r>
        <w:rPr>
          <w:rFonts w:ascii="Times New Roman" w:hAnsi="Times New Roman"/>
          <w:bCs/>
          <w:color w:val="000000"/>
          <w:sz w:val="16"/>
          <w:lang w:val="pt-BR" w:eastAsia="pt-BR"/>
        </w:rPr>
        <w:t>. Telefone: 2024-9157.</w:t>
      </w:r>
      <w:r w:rsidRPr="00947CC1">
        <w:rPr>
          <w:rFonts w:ascii="Times New Roman" w:hAnsi="Times New Roman"/>
          <w:bCs/>
          <w:color w:val="000000"/>
          <w:sz w:val="16"/>
          <w:lang w:val="pt-BR" w:eastAsia="pt-BR"/>
        </w:rPr>
        <w:t xml:space="preserve"> E</w:t>
      </w:r>
      <w:r>
        <w:rPr>
          <w:rFonts w:ascii="Times New Roman" w:hAnsi="Times New Roman"/>
          <w:bCs/>
          <w:color w:val="000000"/>
          <w:sz w:val="16"/>
          <w:lang w:val="pt-BR" w:eastAsia="pt-BR"/>
        </w:rPr>
        <w:t>-</w:t>
      </w:r>
      <w:r w:rsidRPr="00947CC1">
        <w:rPr>
          <w:rFonts w:ascii="Times New Roman" w:hAnsi="Times New Roman"/>
          <w:bCs/>
          <w:color w:val="000000"/>
          <w:sz w:val="16"/>
          <w:lang w:val="pt-BR" w:eastAsia="pt-BR"/>
        </w:rPr>
        <w:t>mail: scarpellifelipe@gmail.com</w:t>
      </w:r>
    </w:p>
  </w:footnote>
  <w:footnote w:id="2">
    <w:p w14:paraId="5A1AF6C9" w14:textId="77777777" w:rsidR="009E264E" w:rsidRPr="00424C2F" w:rsidRDefault="009E264E" w:rsidP="009E264E">
      <w:pPr>
        <w:pStyle w:val="Textodenotaderodap"/>
        <w:spacing w:before="120" w:after="120"/>
        <w:jc w:val="both"/>
        <w:rPr>
          <w:rFonts w:ascii="Times New Roman" w:hAnsi="Times New Roman"/>
          <w:bCs/>
          <w:color w:val="000000"/>
          <w:lang w:val="pt-BR" w:eastAsia="pt-BR"/>
        </w:rPr>
      </w:pPr>
      <w:r w:rsidRPr="00947CC1">
        <w:rPr>
          <w:rStyle w:val="Refdenotaderodap"/>
          <w:rFonts w:ascii="Times New Roman" w:hAnsi="Times New Roman"/>
          <w:sz w:val="16"/>
        </w:rPr>
        <w:footnoteRef/>
      </w:r>
      <w:r w:rsidRPr="00947CC1">
        <w:rPr>
          <w:rFonts w:ascii="Times New Roman" w:hAnsi="Times New Roman"/>
          <w:bCs/>
          <w:color w:val="000000"/>
          <w:sz w:val="16"/>
          <w:lang w:eastAsia="pt-BR"/>
        </w:rPr>
        <w:t xml:space="preserve"> </w:t>
      </w:r>
      <w:r>
        <w:rPr>
          <w:rFonts w:ascii="Times New Roman" w:hAnsi="Times New Roman"/>
          <w:bCs/>
          <w:color w:val="000000"/>
          <w:sz w:val="16"/>
          <w:lang w:val="pt-BR" w:eastAsia="pt-BR"/>
        </w:rPr>
        <w:t xml:space="preserve">Bacharel em Direito pelo Centro Universitário de Brasília. Pós-graduanda em MBA Executivo em Gestão Competitiva e Business </w:t>
      </w:r>
      <w:proofErr w:type="spellStart"/>
      <w:r>
        <w:rPr>
          <w:rFonts w:ascii="Times New Roman" w:hAnsi="Times New Roman"/>
          <w:bCs/>
          <w:color w:val="000000"/>
          <w:sz w:val="16"/>
          <w:lang w:val="pt-BR" w:eastAsia="pt-BR"/>
        </w:rPr>
        <w:t>Intelligence</w:t>
      </w:r>
      <w:proofErr w:type="spellEnd"/>
      <w:r>
        <w:rPr>
          <w:rFonts w:ascii="Times New Roman" w:hAnsi="Times New Roman"/>
          <w:bCs/>
          <w:color w:val="000000"/>
          <w:sz w:val="16"/>
          <w:lang w:val="pt-BR" w:eastAsia="pt-BR"/>
        </w:rPr>
        <w:t xml:space="preserve"> pela Universidade Cândido Mendes. Escrivã de Polícia Federal lotada no Serviço de Análise Estratégica da Diretoria de Inteligência Policial. ORCID: </w:t>
      </w:r>
      <w:r w:rsidRPr="00851330">
        <w:rPr>
          <w:rFonts w:ascii="Times New Roman" w:hAnsi="Times New Roman"/>
          <w:bCs/>
          <w:color w:val="000000"/>
          <w:sz w:val="16"/>
          <w:lang w:val="pt-BR" w:eastAsia="pt-BR"/>
        </w:rPr>
        <w:t>0000-0001-8689-9341</w:t>
      </w:r>
      <w:r>
        <w:rPr>
          <w:rFonts w:ascii="Times New Roman" w:hAnsi="Times New Roman"/>
          <w:bCs/>
          <w:color w:val="000000"/>
          <w:sz w:val="16"/>
          <w:lang w:val="pt-BR" w:eastAsia="pt-BR"/>
        </w:rPr>
        <w:t>. Telefone: 2024-9178. E-mail: correiopriscila@gmail.com</w:t>
      </w:r>
    </w:p>
  </w:footnote>
  <w:footnote w:id="3">
    <w:p w14:paraId="08965A13" w14:textId="0865CDF6" w:rsidR="00E112BD" w:rsidRPr="00947CC1" w:rsidRDefault="00E112BD" w:rsidP="00947CC1">
      <w:pPr>
        <w:pStyle w:val="Textodenotaderodap"/>
        <w:spacing w:after="0" w:line="240" w:lineRule="auto"/>
        <w:jc w:val="both"/>
        <w:rPr>
          <w:rFonts w:ascii="Times New Roman" w:hAnsi="Times New Roman"/>
          <w:bCs/>
          <w:color w:val="000000"/>
          <w:lang w:val="pt-BR" w:eastAsia="pt-BR"/>
        </w:rPr>
      </w:pPr>
      <w:r w:rsidRPr="00947CC1">
        <w:rPr>
          <w:rStyle w:val="Refdenotaderodap"/>
          <w:rFonts w:ascii="Times New Roman" w:hAnsi="Times New Roman"/>
        </w:rPr>
        <w:footnoteRef/>
      </w:r>
      <w:r w:rsidRPr="00947CC1">
        <w:rPr>
          <w:rFonts w:ascii="Times New Roman" w:hAnsi="Times New Roman"/>
          <w:bCs/>
          <w:color w:val="000000"/>
          <w:lang w:eastAsia="pt-BR"/>
        </w:rPr>
        <w:t xml:space="preserve"> </w:t>
      </w:r>
      <w:r w:rsidR="00947CC1" w:rsidRPr="00947CC1">
        <w:rPr>
          <w:rFonts w:ascii="Times New Roman" w:hAnsi="Times New Roman"/>
          <w:bCs/>
          <w:color w:val="000000"/>
          <w:lang w:eastAsia="pt-BR"/>
        </w:rPr>
        <w:t>https://www.ohchr.org/Documents/Issues/Migration/OHCHR_Recommended_Principles_Guidelines.pdf</w:t>
      </w:r>
    </w:p>
  </w:footnote>
  <w:footnote w:id="4">
    <w:p w14:paraId="5CAFCE4D" w14:textId="77777777" w:rsidR="0012150C" w:rsidRPr="00947CC1" w:rsidRDefault="0012150C" w:rsidP="00947CC1">
      <w:pPr>
        <w:pStyle w:val="Textodenotaderodap"/>
        <w:spacing w:before="120" w:after="120" w:line="240" w:lineRule="auto"/>
        <w:jc w:val="both"/>
        <w:rPr>
          <w:rFonts w:ascii="Times New Roman" w:hAnsi="Times New Roman"/>
          <w:bCs/>
          <w:color w:val="000000"/>
          <w:lang w:eastAsia="pt-BR"/>
        </w:rPr>
      </w:pPr>
      <w:r w:rsidRPr="00947CC1">
        <w:rPr>
          <w:rStyle w:val="Refdenotaderodap"/>
          <w:rFonts w:ascii="Times New Roman" w:hAnsi="Times New Roman"/>
        </w:rPr>
        <w:footnoteRef/>
      </w:r>
      <w:r w:rsidRPr="00947CC1">
        <w:rPr>
          <w:rFonts w:ascii="Times New Roman" w:hAnsi="Times New Roman"/>
          <w:bCs/>
          <w:color w:val="000000"/>
          <w:lang w:val="pt-BR" w:eastAsia="pt-BR"/>
        </w:rPr>
        <w:t xml:space="preserve"> </w:t>
      </w:r>
      <w:r w:rsidRPr="00947CC1">
        <w:rPr>
          <w:rFonts w:ascii="Times New Roman" w:hAnsi="Times New Roman"/>
          <w:bCs/>
          <w:color w:val="000000"/>
          <w:lang w:eastAsia="pt-BR"/>
        </w:rPr>
        <w:t>https://undocs.org/es/A/CONF.231/3</w:t>
      </w:r>
    </w:p>
  </w:footnote>
  <w:footnote w:id="5">
    <w:p w14:paraId="62CB06B4" w14:textId="27D0CEC9" w:rsidR="00A4154E" w:rsidRPr="00947CC1" w:rsidRDefault="00A4154E" w:rsidP="00947CC1">
      <w:pPr>
        <w:pStyle w:val="Textodenotaderodap"/>
        <w:spacing w:before="120" w:after="120" w:line="240" w:lineRule="auto"/>
        <w:jc w:val="both"/>
        <w:rPr>
          <w:rFonts w:ascii="Times New Roman" w:hAnsi="Times New Roman"/>
          <w:bCs/>
          <w:color w:val="000000"/>
          <w:lang w:eastAsia="pt-BR"/>
        </w:rPr>
      </w:pPr>
      <w:r w:rsidRPr="00947CC1">
        <w:rPr>
          <w:rStyle w:val="Refdenotaderodap"/>
          <w:rFonts w:ascii="Times New Roman" w:hAnsi="Times New Roman"/>
        </w:rPr>
        <w:footnoteRef/>
      </w:r>
      <w:r w:rsidRPr="00947CC1">
        <w:rPr>
          <w:rFonts w:ascii="Times New Roman" w:hAnsi="Times New Roman"/>
          <w:bCs/>
          <w:color w:val="000000"/>
          <w:lang w:val="pt-BR" w:eastAsia="pt-BR"/>
        </w:rPr>
        <w:t xml:space="preserve"> Orange Book é uma publicação do governo do Reino Unido sobre procedimentos de análise de riscos, onde </w:t>
      </w:r>
      <w:r w:rsidRPr="00947CC1">
        <w:rPr>
          <w:rFonts w:ascii="Times New Roman" w:hAnsi="Times New Roman"/>
          <w:bCs/>
          <w:color w:val="000000"/>
          <w:lang w:eastAsia="pt-BR"/>
        </w:rPr>
        <w:t>estabelece o conceito de gerenciamento de riscos e fornece uma introdução básica aos seus conceitos, desenvolvimento e implementação de processos de gerenciamento de riscos em organizações governamentais</w:t>
      </w:r>
      <w:r w:rsidRPr="00947CC1">
        <w:rPr>
          <w:rFonts w:ascii="Times New Roman" w:hAnsi="Times New Roman"/>
          <w:bCs/>
          <w:color w:val="000000"/>
          <w:lang w:val="pt-BR" w:eastAsia="pt-BR"/>
        </w:rPr>
        <w:t xml:space="preserve"> daquele país</w:t>
      </w:r>
      <w:r w:rsidRPr="00947CC1">
        <w:rPr>
          <w:rFonts w:ascii="Times New Roman" w:hAnsi="Times New Roman"/>
          <w:bCs/>
          <w:color w:val="000000"/>
          <w:lang w:eastAsia="pt-BR"/>
        </w:rPr>
        <w:t>.</w:t>
      </w:r>
    </w:p>
  </w:footnote>
  <w:footnote w:id="6">
    <w:p w14:paraId="075D6753" w14:textId="50E00CA1" w:rsidR="00A4154E" w:rsidRPr="00CE271F" w:rsidRDefault="00A4154E" w:rsidP="00947CC1">
      <w:pPr>
        <w:pStyle w:val="Textodenotaderodap"/>
        <w:spacing w:before="120" w:after="120"/>
        <w:jc w:val="both"/>
        <w:rPr>
          <w:rFonts w:ascii="Arial" w:hAnsi="Arial" w:cs="Arial"/>
          <w:bCs/>
          <w:color w:val="000000"/>
          <w:lang w:eastAsia="pt-BR"/>
        </w:rPr>
      </w:pPr>
      <w:r w:rsidRPr="00947CC1">
        <w:rPr>
          <w:rStyle w:val="Refdenotaderodap"/>
          <w:rFonts w:ascii="Times New Roman" w:hAnsi="Times New Roman"/>
        </w:rPr>
        <w:footnoteRef/>
      </w:r>
      <w:r w:rsidRPr="00947CC1">
        <w:rPr>
          <w:rFonts w:ascii="Times New Roman" w:hAnsi="Times New Roman"/>
          <w:bCs/>
          <w:color w:val="000000"/>
          <w:lang w:val="pt-BR" w:eastAsia="pt-BR"/>
        </w:rPr>
        <w:t xml:space="preserve"> </w:t>
      </w:r>
      <w:r w:rsidRPr="00947CC1">
        <w:rPr>
          <w:rFonts w:ascii="Times New Roman" w:hAnsi="Times New Roman"/>
          <w:bCs/>
          <w:color w:val="000000"/>
        </w:rPr>
        <w:t>INSTRUÇÃO NORMATIVA CONJUNTA Nº 1,</w:t>
      </w:r>
      <w:r w:rsidR="00D26838" w:rsidRPr="00947CC1">
        <w:rPr>
          <w:rFonts w:ascii="Times New Roman" w:hAnsi="Times New Roman"/>
          <w:bCs/>
          <w:color w:val="000000"/>
          <w:lang w:val="pt-BR"/>
        </w:rPr>
        <w:t xml:space="preserve"> de</w:t>
      </w:r>
      <w:r w:rsidRPr="00947CC1">
        <w:rPr>
          <w:rFonts w:ascii="Times New Roman" w:hAnsi="Times New Roman"/>
          <w:bCs/>
          <w:color w:val="000000"/>
        </w:rPr>
        <w:t xml:space="preserve"> 10 </w:t>
      </w:r>
      <w:r w:rsidR="00D26838" w:rsidRPr="00947CC1">
        <w:rPr>
          <w:rFonts w:ascii="Times New Roman" w:hAnsi="Times New Roman"/>
          <w:bCs/>
          <w:color w:val="000000"/>
          <w:lang w:val="pt-BR"/>
        </w:rPr>
        <w:t>de maio de</w:t>
      </w:r>
      <w:r w:rsidRPr="00947CC1">
        <w:rPr>
          <w:rFonts w:ascii="Times New Roman" w:hAnsi="Times New Roman"/>
          <w:bCs/>
          <w:color w:val="000000"/>
        </w:rPr>
        <w:t xml:space="preserve"> 2016</w:t>
      </w:r>
      <w:r w:rsidR="00D26838" w:rsidRPr="00947CC1">
        <w:rPr>
          <w:rFonts w:ascii="Times New Roman" w:hAnsi="Times New Roman"/>
          <w:bCs/>
          <w:color w:val="000000"/>
          <w:lang w:val="pt-BR"/>
        </w:rPr>
        <w:t xml:space="preserve">, que dispõe </w:t>
      </w:r>
      <w:r w:rsidRPr="00947CC1">
        <w:rPr>
          <w:rFonts w:ascii="Times New Roman" w:hAnsi="Times New Roman"/>
          <w:bCs/>
          <w:color w:val="000000"/>
          <w:lang w:eastAsia="pt-BR"/>
        </w:rPr>
        <w:t>sobre controles internos, gestão de</w:t>
      </w:r>
      <w:r w:rsidR="00D26838" w:rsidRPr="00947CC1">
        <w:rPr>
          <w:rFonts w:ascii="Times New Roman" w:hAnsi="Times New Roman"/>
          <w:bCs/>
          <w:color w:val="000000"/>
          <w:lang w:val="pt-BR" w:eastAsia="pt-BR"/>
        </w:rPr>
        <w:t xml:space="preserve"> </w:t>
      </w:r>
      <w:r w:rsidRPr="00947CC1">
        <w:rPr>
          <w:rFonts w:ascii="Times New Roman" w:hAnsi="Times New Roman"/>
          <w:bCs/>
          <w:color w:val="000000"/>
          <w:lang w:eastAsia="pt-BR"/>
        </w:rPr>
        <w:t>riscos e governança no âmbito do Poder</w:t>
      </w:r>
      <w:r w:rsidR="00D26838" w:rsidRPr="00947CC1">
        <w:rPr>
          <w:rFonts w:ascii="Times New Roman" w:hAnsi="Times New Roman"/>
          <w:bCs/>
          <w:color w:val="000000"/>
          <w:lang w:val="pt-BR" w:eastAsia="pt-BR"/>
        </w:rPr>
        <w:t xml:space="preserve"> </w:t>
      </w:r>
      <w:r w:rsidRPr="00947CC1">
        <w:rPr>
          <w:rFonts w:ascii="Times New Roman" w:hAnsi="Times New Roman"/>
          <w:bCs/>
          <w:color w:val="000000"/>
          <w:lang w:eastAsia="pt-BR"/>
        </w:rPr>
        <w:t>Executivo federal.</w:t>
      </w:r>
      <w:r w:rsidR="00D26838" w:rsidRPr="00947CC1">
        <w:rPr>
          <w:rFonts w:ascii="Times New Roman" w:hAnsi="Times New Roman"/>
          <w:bCs/>
          <w:color w:val="000000"/>
          <w:lang w:val="pt-BR" w:eastAsia="pt-BR"/>
        </w:rPr>
        <w:t xml:space="preserve"> Disponível em &lt;</w:t>
      </w:r>
      <w:r w:rsidR="00D26838" w:rsidRPr="00947CC1">
        <w:rPr>
          <w:rFonts w:ascii="Times New Roman" w:hAnsi="Times New Roman"/>
          <w:bCs/>
          <w:lang w:val="pt-BR" w:eastAsia="pt-BR"/>
        </w:rPr>
        <w:t>http://www.in.gov.br/materia/-/asset_publisher/Kujrw0TZC2Mb/content/id/21519355/do1-2016-05-11-instrucao-normativa-conjunta-n-1-de-10-de-maio-de-2016-21519197&gt;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7E16"/>
    <w:multiLevelType w:val="multilevel"/>
    <w:tmpl w:val="2A265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F864CF"/>
    <w:multiLevelType w:val="multilevel"/>
    <w:tmpl w:val="2A265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6C40A6"/>
    <w:multiLevelType w:val="hybridMultilevel"/>
    <w:tmpl w:val="A64EB0F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3ECE2E8F"/>
    <w:multiLevelType w:val="multilevel"/>
    <w:tmpl w:val="2A265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F519D7"/>
    <w:multiLevelType w:val="hybridMultilevel"/>
    <w:tmpl w:val="0D3409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A350DCD"/>
    <w:multiLevelType w:val="hybridMultilevel"/>
    <w:tmpl w:val="9EE8A3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3457FB"/>
    <w:multiLevelType w:val="hybridMultilevel"/>
    <w:tmpl w:val="FD1CB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97C253A"/>
    <w:multiLevelType w:val="hybridMultilevel"/>
    <w:tmpl w:val="2304B13C"/>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5D43220B"/>
    <w:multiLevelType w:val="hybridMultilevel"/>
    <w:tmpl w:val="E1D410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A501AE"/>
    <w:multiLevelType w:val="hybridMultilevel"/>
    <w:tmpl w:val="66E84C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6C7115E"/>
    <w:multiLevelType w:val="multilevel"/>
    <w:tmpl w:val="2A265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3"/>
  </w:num>
  <w:num w:numId="4">
    <w:abstractNumId w:val="9"/>
  </w:num>
  <w:num w:numId="5">
    <w:abstractNumId w:val="1"/>
  </w:num>
  <w:num w:numId="6">
    <w:abstractNumId w:val="4"/>
  </w:num>
  <w:num w:numId="7">
    <w:abstractNumId w:val="10"/>
  </w:num>
  <w:num w:numId="8">
    <w:abstractNumId w:val="6"/>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02"/>
    <w:rsid w:val="000047BE"/>
    <w:rsid w:val="00016B2B"/>
    <w:rsid w:val="000202B1"/>
    <w:rsid w:val="0002243B"/>
    <w:rsid w:val="00035D95"/>
    <w:rsid w:val="000473C1"/>
    <w:rsid w:val="00047DA9"/>
    <w:rsid w:val="000525FB"/>
    <w:rsid w:val="0005505A"/>
    <w:rsid w:val="00064E21"/>
    <w:rsid w:val="000719B7"/>
    <w:rsid w:val="00072E1B"/>
    <w:rsid w:val="0008523E"/>
    <w:rsid w:val="00085841"/>
    <w:rsid w:val="000865D7"/>
    <w:rsid w:val="000C2667"/>
    <w:rsid w:val="000C4C65"/>
    <w:rsid w:val="000C4E03"/>
    <w:rsid w:val="000D34D1"/>
    <w:rsid w:val="000D4222"/>
    <w:rsid w:val="000D4CCC"/>
    <w:rsid w:val="000D6BA4"/>
    <w:rsid w:val="00100682"/>
    <w:rsid w:val="001007D1"/>
    <w:rsid w:val="001065EC"/>
    <w:rsid w:val="00117427"/>
    <w:rsid w:val="0012150C"/>
    <w:rsid w:val="001227CC"/>
    <w:rsid w:val="00122AF8"/>
    <w:rsid w:val="00135FFF"/>
    <w:rsid w:val="00141820"/>
    <w:rsid w:val="00141F04"/>
    <w:rsid w:val="0014458E"/>
    <w:rsid w:val="00147E9D"/>
    <w:rsid w:val="0015142A"/>
    <w:rsid w:val="001543F9"/>
    <w:rsid w:val="001559FD"/>
    <w:rsid w:val="00166143"/>
    <w:rsid w:val="00176316"/>
    <w:rsid w:val="0019238A"/>
    <w:rsid w:val="00192ED5"/>
    <w:rsid w:val="00197AB2"/>
    <w:rsid w:val="001A5E44"/>
    <w:rsid w:val="001B1A9B"/>
    <w:rsid w:val="001B5475"/>
    <w:rsid w:val="001B57A2"/>
    <w:rsid w:val="001C3737"/>
    <w:rsid w:val="001C7BDE"/>
    <w:rsid w:val="001D1367"/>
    <w:rsid w:val="001E0BD4"/>
    <w:rsid w:val="001E4AF6"/>
    <w:rsid w:val="0020114E"/>
    <w:rsid w:val="00206822"/>
    <w:rsid w:val="002144B0"/>
    <w:rsid w:val="002249A7"/>
    <w:rsid w:val="00225153"/>
    <w:rsid w:val="00233B60"/>
    <w:rsid w:val="00244CA9"/>
    <w:rsid w:val="00255284"/>
    <w:rsid w:val="002618C1"/>
    <w:rsid w:val="002701DD"/>
    <w:rsid w:val="0027352B"/>
    <w:rsid w:val="00291E67"/>
    <w:rsid w:val="00293DB9"/>
    <w:rsid w:val="002A3F40"/>
    <w:rsid w:val="002A7F73"/>
    <w:rsid w:val="002C13EC"/>
    <w:rsid w:val="002C2372"/>
    <w:rsid w:val="002C5289"/>
    <w:rsid w:val="002D7440"/>
    <w:rsid w:val="002E292F"/>
    <w:rsid w:val="00316C47"/>
    <w:rsid w:val="003209C8"/>
    <w:rsid w:val="0032786D"/>
    <w:rsid w:val="00331941"/>
    <w:rsid w:val="00341BF4"/>
    <w:rsid w:val="0034656A"/>
    <w:rsid w:val="003560AE"/>
    <w:rsid w:val="00370CF4"/>
    <w:rsid w:val="0039469C"/>
    <w:rsid w:val="003B10E3"/>
    <w:rsid w:val="003C3413"/>
    <w:rsid w:val="003C7CF2"/>
    <w:rsid w:val="003C7D34"/>
    <w:rsid w:val="003D1FAF"/>
    <w:rsid w:val="003D23A6"/>
    <w:rsid w:val="003D5C0D"/>
    <w:rsid w:val="003E1A53"/>
    <w:rsid w:val="003E4DB9"/>
    <w:rsid w:val="004022B3"/>
    <w:rsid w:val="00402D13"/>
    <w:rsid w:val="00403FCA"/>
    <w:rsid w:val="00406042"/>
    <w:rsid w:val="00411BEA"/>
    <w:rsid w:val="00412CBF"/>
    <w:rsid w:val="00420067"/>
    <w:rsid w:val="00424C2F"/>
    <w:rsid w:val="00425FF7"/>
    <w:rsid w:val="00434183"/>
    <w:rsid w:val="0044208D"/>
    <w:rsid w:val="004556A3"/>
    <w:rsid w:val="00457396"/>
    <w:rsid w:val="00463425"/>
    <w:rsid w:val="00463915"/>
    <w:rsid w:val="00481AB8"/>
    <w:rsid w:val="004830AE"/>
    <w:rsid w:val="004852B9"/>
    <w:rsid w:val="00497C86"/>
    <w:rsid w:val="004B3D8D"/>
    <w:rsid w:val="004B601E"/>
    <w:rsid w:val="004C1179"/>
    <w:rsid w:val="004C2F0B"/>
    <w:rsid w:val="004D2491"/>
    <w:rsid w:val="004D62F7"/>
    <w:rsid w:val="004E00DF"/>
    <w:rsid w:val="004E0982"/>
    <w:rsid w:val="004F1377"/>
    <w:rsid w:val="004F42A3"/>
    <w:rsid w:val="00505DBC"/>
    <w:rsid w:val="00510416"/>
    <w:rsid w:val="00517AF9"/>
    <w:rsid w:val="00520FA1"/>
    <w:rsid w:val="0053704E"/>
    <w:rsid w:val="0054206B"/>
    <w:rsid w:val="00547E60"/>
    <w:rsid w:val="005535F8"/>
    <w:rsid w:val="00557F37"/>
    <w:rsid w:val="00562D8E"/>
    <w:rsid w:val="00564430"/>
    <w:rsid w:val="00570825"/>
    <w:rsid w:val="0058059B"/>
    <w:rsid w:val="00593C60"/>
    <w:rsid w:val="005A230E"/>
    <w:rsid w:val="005C2F0F"/>
    <w:rsid w:val="005D0888"/>
    <w:rsid w:val="005F38AF"/>
    <w:rsid w:val="0060567F"/>
    <w:rsid w:val="00617844"/>
    <w:rsid w:val="00623FDC"/>
    <w:rsid w:val="00636BCC"/>
    <w:rsid w:val="006403C9"/>
    <w:rsid w:val="006507AF"/>
    <w:rsid w:val="00662075"/>
    <w:rsid w:val="006632D0"/>
    <w:rsid w:val="00665C15"/>
    <w:rsid w:val="0067367E"/>
    <w:rsid w:val="00673826"/>
    <w:rsid w:val="006813BC"/>
    <w:rsid w:val="00684EDF"/>
    <w:rsid w:val="00692072"/>
    <w:rsid w:val="006A100D"/>
    <w:rsid w:val="006A15D8"/>
    <w:rsid w:val="006A248A"/>
    <w:rsid w:val="006A6C82"/>
    <w:rsid w:val="006A7F49"/>
    <w:rsid w:val="006B67F8"/>
    <w:rsid w:val="006D1354"/>
    <w:rsid w:val="006E0B57"/>
    <w:rsid w:val="006E1623"/>
    <w:rsid w:val="006E34AD"/>
    <w:rsid w:val="006E565B"/>
    <w:rsid w:val="00707D86"/>
    <w:rsid w:val="00725D79"/>
    <w:rsid w:val="0072715D"/>
    <w:rsid w:val="00740B42"/>
    <w:rsid w:val="00741909"/>
    <w:rsid w:val="00744BD6"/>
    <w:rsid w:val="007563EE"/>
    <w:rsid w:val="007608E0"/>
    <w:rsid w:val="00762201"/>
    <w:rsid w:val="00766866"/>
    <w:rsid w:val="00771897"/>
    <w:rsid w:val="00775010"/>
    <w:rsid w:val="00780BCF"/>
    <w:rsid w:val="00781410"/>
    <w:rsid w:val="00781BD7"/>
    <w:rsid w:val="00785FD9"/>
    <w:rsid w:val="007949BA"/>
    <w:rsid w:val="00795BE8"/>
    <w:rsid w:val="00796B4C"/>
    <w:rsid w:val="007A3D8F"/>
    <w:rsid w:val="007A3F9F"/>
    <w:rsid w:val="007B509F"/>
    <w:rsid w:val="007C3B98"/>
    <w:rsid w:val="007D2DDB"/>
    <w:rsid w:val="007D6496"/>
    <w:rsid w:val="007D7D6C"/>
    <w:rsid w:val="007E56C8"/>
    <w:rsid w:val="007F667C"/>
    <w:rsid w:val="007F71FC"/>
    <w:rsid w:val="0081026C"/>
    <w:rsid w:val="008111D2"/>
    <w:rsid w:val="0083533D"/>
    <w:rsid w:val="00835795"/>
    <w:rsid w:val="0085339D"/>
    <w:rsid w:val="0085588B"/>
    <w:rsid w:val="0086317C"/>
    <w:rsid w:val="0087016E"/>
    <w:rsid w:val="00872EE4"/>
    <w:rsid w:val="00873A94"/>
    <w:rsid w:val="00877B1A"/>
    <w:rsid w:val="00880170"/>
    <w:rsid w:val="00880F29"/>
    <w:rsid w:val="008A3F3F"/>
    <w:rsid w:val="008A4D5E"/>
    <w:rsid w:val="008B08EF"/>
    <w:rsid w:val="008B2CB5"/>
    <w:rsid w:val="008B4919"/>
    <w:rsid w:val="008C4D29"/>
    <w:rsid w:val="008E1B6A"/>
    <w:rsid w:val="008E551E"/>
    <w:rsid w:val="008F0877"/>
    <w:rsid w:val="008F3CE2"/>
    <w:rsid w:val="00904697"/>
    <w:rsid w:val="009052D0"/>
    <w:rsid w:val="00914B96"/>
    <w:rsid w:val="00915372"/>
    <w:rsid w:val="00921C0D"/>
    <w:rsid w:val="00923677"/>
    <w:rsid w:val="00931AE7"/>
    <w:rsid w:val="009379D9"/>
    <w:rsid w:val="009409BA"/>
    <w:rsid w:val="00947CC1"/>
    <w:rsid w:val="009605E6"/>
    <w:rsid w:val="00964128"/>
    <w:rsid w:val="00985DD2"/>
    <w:rsid w:val="00991F24"/>
    <w:rsid w:val="00993BDA"/>
    <w:rsid w:val="009945A5"/>
    <w:rsid w:val="00994D2B"/>
    <w:rsid w:val="009A362D"/>
    <w:rsid w:val="009A7829"/>
    <w:rsid w:val="009B0169"/>
    <w:rsid w:val="009B11BC"/>
    <w:rsid w:val="009B62A7"/>
    <w:rsid w:val="009C46BB"/>
    <w:rsid w:val="009D094A"/>
    <w:rsid w:val="009E264E"/>
    <w:rsid w:val="009E2708"/>
    <w:rsid w:val="009E67F1"/>
    <w:rsid w:val="009F5B7C"/>
    <w:rsid w:val="00A16B54"/>
    <w:rsid w:val="00A204E9"/>
    <w:rsid w:val="00A208C0"/>
    <w:rsid w:val="00A228DE"/>
    <w:rsid w:val="00A23244"/>
    <w:rsid w:val="00A2529B"/>
    <w:rsid w:val="00A27075"/>
    <w:rsid w:val="00A4154E"/>
    <w:rsid w:val="00A42098"/>
    <w:rsid w:val="00A45F63"/>
    <w:rsid w:val="00A50C9E"/>
    <w:rsid w:val="00A524BE"/>
    <w:rsid w:val="00A6461F"/>
    <w:rsid w:val="00A6468B"/>
    <w:rsid w:val="00A646C2"/>
    <w:rsid w:val="00A7372C"/>
    <w:rsid w:val="00A7518A"/>
    <w:rsid w:val="00A75AF4"/>
    <w:rsid w:val="00A8013B"/>
    <w:rsid w:val="00A8306E"/>
    <w:rsid w:val="00A842F5"/>
    <w:rsid w:val="00A85348"/>
    <w:rsid w:val="00A87CAB"/>
    <w:rsid w:val="00A9542E"/>
    <w:rsid w:val="00AA0B88"/>
    <w:rsid w:val="00AB1432"/>
    <w:rsid w:val="00AB1AA1"/>
    <w:rsid w:val="00AB3BBB"/>
    <w:rsid w:val="00AC0277"/>
    <w:rsid w:val="00AC4373"/>
    <w:rsid w:val="00AC4C88"/>
    <w:rsid w:val="00AE724B"/>
    <w:rsid w:val="00AF59B3"/>
    <w:rsid w:val="00B0343A"/>
    <w:rsid w:val="00B07612"/>
    <w:rsid w:val="00B0789E"/>
    <w:rsid w:val="00B177CD"/>
    <w:rsid w:val="00B17FAB"/>
    <w:rsid w:val="00B2474C"/>
    <w:rsid w:val="00B3524F"/>
    <w:rsid w:val="00B51FA1"/>
    <w:rsid w:val="00B643FE"/>
    <w:rsid w:val="00B76F64"/>
    <w:rsid w:val="00B832F9"/>
    <w:rsid w:val="00B83D41"/>
    <w:rsid w:val="00B8750F"/>
    <w:rsid w:val="00B91FC2"/>
    <w:rsid w:val="00B95C13"/>
    <w:rsid w:val="00B96767"/>
    <w:rsid w:val="00BA2B2E"/>
    <w:rsid w:val="00BA7B4F"/>
    <w:rsid w:val="00BB2FEF"/>
    <w:rsid w:val="00BB756A"/>
    <w:rsid w:val="00BC2C68"/>
    <w:rsid w:val="00BC521E"/>
    <w:rsid w:val="00BD0149"/>
    <w:rsid w:val="00C04F42"/>
    <w:rsid w:val="00C05E2A"/>
    <w:rsid w:val="00C07EC4"/>
    <w:rsid w:val="00C13CF7"/>
    <w:rsid w:val="00C1572C"/>
    <w:rsid w:val="00C167F6"/>
    <w:rsid w:val="00C20B55"/>
    <w:rsid w:val="00C21430"/>
    <w:rsid w:val="00C31A86"/>
    <w:rsid w:val="00C444C5"/>
    <w:rsid w:val="00C45FC6"/>
    <w:rsid w:val="00C53EFC"/>
    <w:rsid w:val="00C60A15"/>
    <w:rsid w:val="00C623A1"/>
    <w:rsid w:val="00C67B00"/>
    <w:rsid w:val="00C703FD"/>
    <w:rsid w:val="00C70B17"/>
    <w:rsid w:val="00C724CF"/>
    <w:rsid w:val="00C74161"/>
    <w:rsid w:val="00C92A93"/>
    <w:rsid w:val="00CA54DC"/>
    <w:rsid w:val="00CA7C78"/>
    <w:rsid w:val="00CB4C1A"/>
    <w:rsid w:val="00CC3E82"/>
    <w:rsid w:val="00CC6AC8"/>
    <w:rsid w:val="00CE6125"/>
    <w:rsid w:val="00CE69F0"/>
    <w:rsid w:val="00CE70F1"/>
    <w:rsid w:val="00CF0270"/>
    <w:rsid w:val="00D027F1"/>
    <w:rsid w:val="00D04893"/>
    <w:rsid w:val="00D22330"/>
    <w:rsid w:val="00D22682"/>
    <w:rsid w:val="00D26838"/>
    <w:rsid w:val="00D3260B"/>
    <w:rsid w:val="00D4765E"/>
    <w:rsid w:val="00D543FE"/>
    <w:rsid w:val="00D55C39"/>
    <w:rsid w:val="00D56367"/>
    <w:rsid w:val="00D609ED"/>
    <w:rsid w:val="00D62A78"/>
    <w:rsid w:val="00D94E43"/>
    <w:rsid w:val="00D97ABF"/>
    <w:rsid w:val="00DA5048"/>
    <w:rsid w:val="00DB2CE8"/>
    <w:rsid w:val="00DB3066"/>
    <w:rsid w:val="00DC1BBA"/>
    <w:rsid w:val="00DC52C2"/>
    <w:rsid w:val="00DD1CFC"/>
    <w:rsid w:val="00DE1A5D"/>
    <w:rsid w:val="00DF60C7"/>
    <w:rsid w:val="00E06D0D"/>
    <w:rsid w:val="00E10574"/>
    <w:rsid w:val="00E112BD"/>
    <w:rsid w:val="00E11808"/>
    <w:rsid w:val="00E16044"/>
    <w:rsid w:val="00E2260E"/>
    <w:rsid w:val="00E30113"/>
    <w:rsid w:val="00E30AFC"/>
    <w:rsid w:val="00E4479C"/>
    <w:rsid w:val="00E4726A"/>
    <w:rsid w:val="00E5289C"/>
    <w:rsid w:val="00E76574"/>
    <w:rsid w:val="00E91D23"/>
    <w:rsid w:val="00E93FA0"/>
    <w:rsid w:val="00E96A21"/>
    <w:rsid w:val="00EB2741"/>
    <w:rsid w:val="00EB6F02"/>
    <w:rsid w:val="00EC0359"/>
    <w:rsid w:val="00EC23D1"/>
    <w:rsid w:val="00EC33B0"/>
    <w:rsid w:val="00ED5A96"/>
    <w:rsid w:val="00ED71C3"/>
    <w:rsid w:val="00EE0C2F"/>
    <w:rsid w:val="00EF128B"/>
    <w:rsid w:val="00EF1554"/>
    <w:rsid w:val="00EF2BA4"/>
    <w:rsid w:val="00F317EF"/>
    <w:rsid w:val="00F356DD"/>
    <w:rsid w:val="00F40359"/>
    <w:rsid w:val="00F41F03"/>
    <w:rsid w:val="00F44D3B"/>
    <w:rsid w:val="00F83317"/>
    <w:rsid w:val="00FB616E"/>
    <w:rsid w:val="00FB70D8"/>
    <w:rsid w:val="00FE280F"/>
    <w:rsid w:val="00FE3484"/>
    <w:rsid w:val="00FE6134"/>
    <w:rsid w:val="00FE74C7"/>
    <w:rsid w:val="00FF0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5BEA"/>
  <w15:chartTrackingRefBased/>
  <w15:docId w15:val="{6067E9EE-4BE3-4227-A498-F1821347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F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6F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aibaMais">
    <w:name w:val="Saiba Mais"/>
    <w:basedOn w:val="Normal"/>
    <w:next w:val="Normal"/>
    <w:qFormat/>
    <w:rsid w:val="00EB6F02"/>
    <w:pPr>
      <w:shd w:val="clear" w:color="auto" w:fill="FFFF66"/>
      <w:spacing w:beforeLines="60" w:after="60" w:line="276" w:lineRule="auto"/>
      <w:jc w:val="both"/>
    </w:pPr>
    <w:rPr>
      <w:rFonts w:ascii="Calibri" w:eastAsia="Times New Roman" w:hAnsi="Calibri" w:cs="Times New Roman"/>
      <w:szCs w:val="20"/>
      <w:lang w:bidi="en-US"/>
    </w:rPr>
  </w:style>
  <w:style w:type="paragraph" w:customStyle="1" w:styleId="EntreAspas">
    <w:name w:val="Entre Aspas"/>
    <w:basedOn w:val="Normal"/>
    <w:link w:val="EntreAspasChar"/>
    <w:qFormat/>
    <w:rsid w:val="00EB6F02"/>
    <w:pPr>
      <w:shd w:val="clear" w:color="auto" w:fill="95B3D7"/>
      <w:spacing w:before="200" w:after="200" w:line="276" w:lineRule="auto"/>
      <w:jc w:val="both"/>
    </w:pPr>
    <w:rPr>
      <w:rFonts w:ascii="Calibri" w:eastAsia="Times New Roman" w:hAnsi="Calibri" w:cs="Times New Roman"/>
      <w:szCs w:val="20"/>
      <w:lang w:bidi="en-US"/>
    </w:rPr>
  </w:style>
  <w:style w:type="character" w:customStyle="1" w:styleId="EntreAspasChar">
    <w:name w:val="Entre Aspas Char"/>
    <w:link w:val="EntreAspas"/>
    <w:rsid w:val="00EB6F02"/>
    <w:rPr>
      <w:rFonts w:ascii="Calibri" w:eastAsia="Times New Roman" w:hAnsi="Calibri" w:cs="Times New Roman"/>
      <w:szCs w:val="20"/>
      <w:shd w:val="clear" w:color="auto" w:fill="95B3D7"/>
      <w:lang w:bidi="en-US"/>
    </w:rPr>
  </w:style>
  <w:style w:type="character" w:styleId="Hyperlink">
    <w:name w:val="Hyperlink"/>
    <w:basedOn w:val="Fontepargpadro"/>
    <w:uiPriority w:val="99"/>
    <w:unhideWhenUsed/>
    <w:rsid w:val="00EB6F02"/>
    <w:rPr>
      <w:color w:val="0563C1" w:themeColor="hyperlink"/>
      <w:u w:val="single"/>
    </w:rPr>
  </w:style>
  <w:style w:type="paragraph" w:styleId="Textodenotaderodap">
    <w:name w:val="footnote text"/>
    <w:aliases w:val="UIA Rodapé"/>
    <w:basedOn w:val="Normal"/>
    <w:link w:val="TextodenotaderodapChar"/>
    <w:uiPriority w:val="99"/>
    <w:unhideWhenUsed/>
    <w:qFormat/>
    <w:rsid w:val="00EB6F02"/>
    <w:pPr>
      <w:spacing w:after="200" w:line="276" w:lineRule="auto"/>
    </w:pPr>
    <w:rPr>
      <w:rFonts w:ascii="Calibri" w:eastAsia="Calibri" w:hAnsi="Calibri" w:cs="Times New Roman"/>
      <w:sz w:val="20"/>
      <w:szCs w:val="20"/>
      <w:lang w:val="x-none" w:eastAsia="x-none"/>
    </w:rPr>
  </w:style>
  <w:style w:type="character" w:customStyle="1" w:styleId="TextodenotaderodapChar">
    <w:name w:val="Texto de nota de rodapé Char"/>
    <w:aliases w:val="UIA Rodapé Char"/>
    <w:basedOn w:val="Fontepargpadro"/>
    <w:link w:val="Textodenotaderodap"/>
    <w:uiPriority w:val="99"/>
    <w:rsid w:val="00EB6F02"/>
    <w:rPr>
      <w:rFonts w:ascii="Calibri" w:eastAsia="Calibri" w:hAnsi="Calibri" w:cs="Times New Roman"/>
      <w:sz w:val="20"/>
      <w:szCs w:val="20"/>
      <w:lang w:val="x-none" w:eastAsia="x-none"/>
    </w:rPr>
  </w:style>
  <w:style w:type="character" w:styleId="Refdenotaderodap">
    <w:name w:val="footnote reference"/>
    <w:uiPriority w:val="99"/>
    <w:unhideWhenUsed/>
    <w:rsid w:val="00EB6F02"/>
    <w:rPr>
      <w:vertAlign w:val="superscript"/>
    </w:rPr>
  </w:style>
  <w:style w:type="paragraph" w:customStyle="1" w:styleId="Legislacao">
    <w:name w:val="Legislacao"/>
    <w:basedOn w:val="Normal"/>
    <w:next w:val="Normal"/>
    <w:qFormat/>
    <w:rsid w:val="00EB6F02"/>
    <w:pPr>
      <w:shd w:val="clear" w:color="auto" w:fill="92D050"/>
      <w:spacing w:beforeLines="60" w:after="60" w:line="276" w:lineRule="auto"/>
      <w:jc w:val="both"/>
    </w:pPr>
    <w:rPr>
      <w:rFonts w:ascii="Calibri" w:eastAsia="Times New Roman" w:hAnsi="Calibri" w:cs="Times New Roman"/>
      <w:szCs w:val="20"/>
      <w:lang w:bidi="en-US"/>
    </w:rPr>
  </w:style>
  <w:style w:type="paragraph" w:customStyle="1" w:styleId="Importante">
    <w:name w:val="Importante"/>
    <w:basedOn w:val="Normal"/>
    <w:next w:val="Normal"/>
    <w:qFormat/>
    <w:rsid w:val="0015142A"/>
    <w:pPr>
      <w:shd w:val="clear" w:color="auto" w:fill="F79646"/>
      <w:spacing w:before="200" w:after="200" w:line="276" w:lineRule="auto"/>
      <w:jc w:val="both"/>
    </w:pPr>
    <w:rPr>
      <w:rFonts w:ascii="Calibri" w:eastAsia="Times New Roman" w:hAnsi="Calibri" w:cs="Times New Roman"/>
      <w:szCs w:val="20"/>
      <w:lang w:bidi="en-US"/>
    </w:rPr>
  </w:style>
  <w:style w:type="paragraph" w:styleId="PargrafodaLista">
    <w:name w:val="List Paragraph"/>
    <w:basedOn w:val="Normal"/>
    <w:uiPriority w:val="34"/>
    <w:qFormat/>
    <w:rsid w:val="0015142A"/>
    <w:pPr>
      <w:spacing w:after="0" w:line="240" w:lineRule="auto"/>
      <w:ind w:left="720"/>
      <w:contextualSpacing/>
    </w:pPr>
    <w:rPr>
      <w:sz w:val="24"/>
      <w:szCs w:val="24"/>
      <w:lang w:val="en-US"/>
    </w:rPr>
  </w:style>
  <w:style w:type="character" w:styleId="Refdecomentrio">
    <w:name w:val="annotation reference"/>
    <w:basedOn w:val="Fontepargpadro"/>
    <w:uiPriority w:val="99"/>
    <w:semiHidden/>
    <w:unhideWhenUsed/>
    <w:rsid w:val="0081026C"/>
    <w:rPr>
      <w:sz w:val="16"/>
      <w:szCs w:val="16"/>
    </w:rPr>
  </w:style>
  <w:style w:type="paragraph" w:styleId="Textodecomentrio">
    <w:name w:val="annotation text"/>
    <w:basedOn w:val="Normal"/>
    <w:link w:val="TextodecomentrioChar"/>
    <w:uiPriority w:val="99"/>
    <w:semiHidden/>
    <w:unhideWhenUsed/>
    <w:rsid w:val="0081026C"/>
    <w:pPr>
      <w:spacing w:after="0" w:line="240" w:lineRule="auto"/>
    </w:pPr>
    <w:rPr>
      <w:sz w:val="20"/>
      <w:szCs w:val="20"/>
      <w:lang w:val="en-US"/>
    </w:rPr>
  </w:style>
  <w:style w:type="character" w:customStyle="1" w:styleId="TextodecomentrioChar">
    <w:name w:val="Texto de comentário Char"/>
    <w:basedOn w:val="Fontepargpadro"/>
    <w:link w:val="Textodecomentrio"/>
    <w:uiPriority w:val="99"/>
    <w:semiHidden/>
    <w:rsid w:val="0081026C"/>
    <w:rPr>
      <w:sz w:val="20"/>
      <w:szCs w:val="20"/>
      <w:lang w:val="en-US"/>
    </w:rPr>
  </w:style>
  <w:style w:type="paragraph" w:styleId="Textodebalo">
    <w:name w:val="Balloon Text"/>
    <w:basedOn w:val="Normal"/>
    <w:link w:val="TextodebaloChar"/>
    <w:uiPriority w:val="99"/>
    <w:semiHidden/>
    <w:unhideWhenUsed/>
    <w:rsid w:val="008102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026C"/>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95C13"/>
    <w:pPr>
      <w:spacing w:after="160"/>
    </w:pPr>
    <w:rPr>
      <w:b/>
      <w:bCs/>
      <w:lang w:val="pt-BR"/>
    </w:rPr>
  </w:style>
  <w:style w:type="character" w:customStyle="1" w:styleId="AssuntodocomentrioChar">
    <w:name w:val="Assunto do comentário Char"/>
    <w:basedOn w:val="TextodecomentrioChar"/>
    <w:link w:val="Assuntodocomentrio"/>
    <w:uiPriority w:val="99"/>
    <w:semiHidden/>
    <w:rsid w:val="00B95C13"/>
    <w:rPr>
      <w:b/>
      <w:bCs/>
      <w:sz w:val="20"/>
      <w:szCs w:val="20"/>
      <w:lang w:val="en-US"/>
    </w:rPr>
  </w:style>
  <w:style w:type="character" w:customStyle="1" w:styleId="MenoPendente1">
    <w:name w:val="Menção Pendente1"/>
    <w:basedOn w:val="Fontepargpadro"/>
    <w:uiPriority w:val="99"/>
    <w:semiHidden/>
    <w:unhideWhenUsed/>
    <w:rsid w:val="00117427"/>
    <w:rPr>
      <w:color w:val="605E5C"/>
      <w:shd w:val="clear" w:color="auto" w:fill="E1DFDD"/>
    </w:rPr>
  </w:style>
  <w:style w:type="paragraph" w:customStyle="1" w:styleId="WW-Recuodecorpodetexto2">
    <w:name w:val="WW-Recuo de corpo de texto 2"/>
    <w:basedOn w:val="Normal"/>
    <w:rsid w:val="001007D1"/>
    <w:pPr>
      <w:suppressAutoHyphens/>
      <w:spacing w:before="280" w:after="280" w:line="240" w:lineRule="auto"/>
    </w:pPr>
    <w:rPr>
      <w:rFonts w:ascii="Times New Roman" w:eastAsia="Times New Roman" w:hAnsi="Times New Roman" w:cs="Calibri"/>
      <w:sz w:val="24"/>
      <w:szCs w:val="24"/>
      <w:lang w:eastAsia="ar-SA"/>
    </w:rPr>
  </w:style>
  <w:style w:type="paragraph" w:styleId="Pr-formataoHTML">
    <w:name w:val="HTML Preformatted"/>
    <w:basedOn w:val="Normal"/>
    <w:link w:val="Pr-formataoHTMLChar"/>
    <w:uiPriority w:val="99"/>
    <w:semiHidden/>
    <w:unhideWhenUsed/>
    <w:rsid w:val="00A45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45F63"/>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744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764875">
      <w:bodyDiv w:val="1"/>
      <w:marLeft w:val="0"/>
      <w:marRight w:val="0"/>
      <w:marTop w:val="0"/>
      <w:marBottom w:val="0"/>
      <w:divBdr>
        <w:top w:val="none" w:sz="0" w:space="0" w:color="auto"/>
        <w:left w:val="none" w:sz="0" w:space="0" w:color="auto"/>
        <w:bottom w:val="none" w:sz="0" w:space="0" w:color="auto"/>
        <w:right w:val="none" w:sz="0" w:space="0" w:color="auto"/>
      </w:divBdr>
    </w:div>
    <w:div w:id="964427944">
      <w:bodyDiv w:val="1"/>
      <w:marLeft w:val="0"/>
      <w:marRight w:val="0"/>
      <w:marTop w:val="0"/>
      <w:marBottom w:val="0"/>
      <w:divBdr>
        <w:top w:val="none" w:sz="0" w:space="0" w:color="auto"/>
        <w:left w:val="none" w:sz="0" w:space="0" w:color="auto"/>
        <w:bottom w:val="none" w:sz="0" w:space="0" w:color="auto"/>
        <w:right w:val="none" w:sz="0" w:space="0" w:color="auto"/>
      </w:divBdr>
    </w:div>
    <w:div w:id="1226994278">
      <w:bodyDiv w:val="1"/>
      <w:marLeft w:val="0"/>
      <w:marRight w:val="0"/>
      <w:marTop w:val="0"/>
      <w:marBottom w:val="0"/>
      <w:divBdr>
        <w:top w:val="none" w:sz="0" w:space="0" w:color="auto"/>
        <w:left w:val="none" w:sz="0" w:space="0" w:color="auto"/>
        <w:bottom w:val="none" w:sz="0" w:space="0" w:color="auto"/>
        <w:right w:val="none" w:sz="0" w:space="0" w:color="auto"/>
      </w:divBdr>
    </w:div>
    <w:div w:id="1441029713">
      <w:bodyDiv w:val="1"/>
      <w:marLeft w:val="0"/>
      <w:marRight w:val="0"/>
      <w:marTop w:val="0"/>
      <w:marBottom w:val="0"/>
      <w:divBdr>
        <w:top w:val="none" w:sz="0" w:space="0" w:color="auto"/>
        <w:left w:val="none" w:sz="0" w:space="0" w:color="auto"/>
        <w:bottom w:val="none" w:sz="0" w:space="0" w:color="auto"/>
        <w:right w:val="none" w:sz="0" w:space="0" w:color="auto"/>
      </w:divBdr>
    </w:div>
    <w:div w:id="1777746313">
      <w:bodyDiv w:val="1"/>
      <w:marLeft w:val="0"/>
      <w:marRight w:val="0"/>
      <w:marTop w:val="0"/>
      <w:marBottom w:val="0"/>
      <w:divBdr>
        <w:top w:val="none" w:sz="0" w:space="0" w:color="auto"/>
        <w:left w:val="none" w:sz="0" w:space="0" w:color="auto"/>
        <w:bottom w:val="none" w:sz="0" w:space="0" w:color="auto"/>
        <w:right w:val="none" w:sz="0" w:space="0" w:color="auto"/>
      </w:divBdr>
    </w:div>
    <w:div w:id="20705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31412%2Frbcp.v8i2.4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36698798377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dx.doi.org/10.18419/opus-7248"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oi.org/10.1016/j.ejor.2015.1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iscila.pams\Desktop\Artigo\2021\Gr&#225;fico\Total%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t-BR" sz="1200"/>
              <a:t>Controle Migratório Brasileiro (entradas,</a:t>
            </a:r>
            <a:r>
              <a:rPr lang="pt-BR" sz="1200" baseline="0"/>
              <a:t> saídas e saldo</a:t>
            </a:r>
            <a:r>
              <a:rPr lang="pt-BR" sz="1200"/>
              <a:t>) - 2018, 2019 e 2020</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pt-BR"/>
        </a:p>
      </c:txPr>
    </c:title>
    <c:autoTitleDeleted val="0"/>
    <c:plotArea>
      <c:layout/>
      <c:barChart>
        <c:barDir val="col"/>
        <c:grouping val="clustered"/>
        <c:varyColors val="0"/>
        <c:ser>
          <c:idx val="0"/>
          <c:order val="0"/>
          <c:tx>
            <c:strRef>
              <c:f>'Grafico STI (3)'!$A$13</c:f>
              <c:strCache>
                <c:ptCount val="1"/>
                <c:pt idx="0">
                  <c:v>Entrada</c:v>
                </c:pt>
              </c:strCache>
            </c:strRef>
          </c:tx>
          <c:spPr>
            <a:solidFill>
              <a:srgbClr val="0070C0"/>
            </a:soli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multiLvlStrRef>
              <c:f>'Grafico STI (3)'!$B$11:$AK$12</c:f>
              <c:multiLvlStrCache>
                <c:ptCount val="36"/>
                <c:lvl>
                  <c:pt idx="0">
                    <c:v>JAN</c:v>
                  </c:pt>
                  <c:pt idx="1">
                    <c:v>FEV</c:v>
                  </c:pt>
                  <c:pt idx="2">
                    <c:v>MAR</c:v>
                  </c:pt>
                  <c:pt idx="3">
                    <c:v>ABR</c:v>
                  </c:pt>
                  <c:pt idx="4">
                    <c:v>MAI</c:v>
                  </c:pt>
                  <c:pt idx="5">
                    <c:v>JUN</c:v>
                  </c:pt>
                  <c:pt idx="6">
                    <c:v>JUL</c:v>
                  </c:pt>
                  <c:pt idx="7">
                    <c:v>AGO</c:v>
                  </c:pt>
                  <c:pt idx="8">
                    <c:v>SET</c:v>
                  </c:pt>
                  <c:pt idx="9">
                    <c:v>OUT</c:v>
                  </c:pt>
                  <c:pt idx="10">
                    <c:v>NOV</c:v>
                  </c:pt>
                  <c:pt idx="11">
                    <c:v>DEZ</c:v>
                  </c:pt>
                  <c:pt idx="12">
                    <c:v>JAN</c:v>
                  </c:pt>
                  <c:pt idx="13">
                    <c:v>FEV</c:v>
                  </c:pt>
                  <c:pt idx="14">
                    <c:v>MAR</c:v>
                  </c:pt>
                  <c:pt idx="15">
                    <c:v>ABR</c:v>
                  </c:pt>
                  <c:pt idx="16">
                    <c:v>MAI</c:v>
                  </c:pt>
                  <c:pt idx="17">
                    <c:v>JUN</c:v>
                  </c:pt>
                  <c:pt idx="18">
                    <c:v>JUL</c:v>
                  </c:pt>
                  <c:pt idx="19">
                    <c:v>AGO</c:v>
                  </c:pt>
                  <c:pt idx="20">
                    <c:v>SET</c:v>
                  </c:pt>
                  <c:pt idx="21">
                    <c:v>OUT</c:v>
                  </c:pt>
                  <c:pt idx="22">
                    <c:v>NOV</c:v>
                  </c:pt>
                  <c:pt idx="23">
                    <c:v>DEZ</c:v>
                  </c:pt>
                  <c:pt idx="24">
                    <c:v>JAN</c:v>
                  </c:pt>
                  <c:pt idx="25">
                    <c:v>FEV</c:v>
                  </c:pt>
                  <c:pt idx="26">
                    <c:v>MAR</c:v>
                  </c:pt>
                  <c:pt idx="27">
                    <c:v>ABR</c:v>
                  </c:pt>
                  <c:pt idx="28">
                    <c:v>MAI</c:v>
                  </c:pt>
                  <c:pt idx="29">
                    <c:v>JUN</c:v>
                  </c:pt>
                  <c:pt idx="30">
                    <c:v>JUL</c:v>
                  </c:pt>
                  <c:pt idx="31">
                    <c:v>AGO</c:v>
                  </c:pt>
                  <c:pt idx="32">
                    <c:v>SET</c:v>
                  </c:pt>
                  <c:pt idx="33">
                    <c:v>OUT</c:v>
                  </c:pt>
                  <c:pt idx="34">
                    <c:v>NOV</c:v>
                  </c:pt>
                  <c:pt idx="35">
                    <c:v>DEZ</c:v>
                  </c:pt>
                </c:lvl>
                <c:lvl>
                  <c:pt idx="0">
                    <c:v>2018</c:v>
                  </c:pt>
                  <c:pt idx="12">
                    <c:v>2019</c:v>
                  </c:pt>
                  <c:pt idx="24">
                    <c:v>2020</c:v>
                  </c:pt>
                </c:lvl>
              </c:multiLvlStrCache>
            </c:multiLvlStrRef>
          </c:cat>
          <c:val>
            <c:numRef>
              <c:f>'Grafico STI (3)'!$B$13:$AK$13</c:f>
              <c:numCache>
                <c:formatCode>General</c:formatCode>
                <c:ptCount val="36"/>
                <c:pt idx="0">
                  <c:v>1822939</c:v>
                </c:pt>
                <c:pt idx="1">
                  <c:v>1448694</c:v>
                </c:pt>
                <c:pt idx="2">
                  <c:v>1210584</c:v>
                </c:pt>
                <c:pt idx="3">
                  <c:v>999941</c:v>
                </c:pt>
                <c:pt idx="4">
                  <c:v>1008547</c:v>
                </c:pt>
                <c:pt idx="5">
                  <c:v>980721</c:v>
                </c:pt>
                <c:pt idx="6">
                  <c:v>1256073</c:v>
                </c:pt>
                <c:pt idx="7">
                  <c:v>1122014</c:v>
                </c:pt>
                <c:pt idx="8">
                  <c:v>1081609</c:v>
                </c:pt>
                <c:pt idx="9">
                  <c:v>1091684</c:v>
                </c:pt>
                <c:pt idx="10">
                  <c:v>1130195</c:v>
                </c:pt>
                <c:pt idx="11">
                  <c:v>1336794</c:v>
                </c:pt>
                <c:pt idx="12">
                  <c:v>1744487</c:v>
                </c:pt>
                <c:pt idx="13">
                  <c:v>1386635</c:v>
                </c:pt>
                <c:pt idx="14">
                  <c:v>1235419</c:v>
                </c:pt>
                <c:pt idx="15">
                  <c:v>1086032</c:v>
                </c:pt>
                <c:pt idx="16">
                  <c:v>1027809</c:v>
                </c:pt>
                <c:pt idx="17">
                  <c:v>1096364</c:v>
                </c:pt>
                <c:pt idx="18">
                  <c:v>1308734</c:v>
                </c:pt>
                <c:pt idx="19">
                  <c:v>1156716</c:v>
                </c:pt>
                <c:pt idx="20">
                  <c:v>1089499</c:v>
                </c:pt>
                <c:pt idx="21">
                  <c:v>1115232</c:v>
                </c:pt>
                <c:pt idx="22">
                  <c:v>1122885</c:v>
                </c:pt>
                <c:pt idx="23">
                  <c:v>1332695</c:v>
                </c:pt>
                <c:pt idx="24">
                  <c:v>1719909</c:v>
                </c:pt>
                <c:pt idx="25">
                  <c:v>1412275</c:v>
                </c:pt>
                <c:pt idx="26">
                  <c:v>755421</c:v>
                </c:pt>
                <c:pt idx="27">
                  <c:v>49678</c:v>
                </c:pt>
                <c:pt idx="28">
                  <c:v>51146</c:v>
                </c:pt>
                <c:pt idx="29">
                  <c:v>15162</c:v>
                </c:pt>
                <c:pt idx="30">
                  <c:v>18405</c:v>
                </c:pt>
                <c:pt idx="31">
                  <c:v>96554</c:v>
                </c:pt>
                <c:pt idx="32">
                  <c:v>109190</c:v>
                </c:pt>
                <c:pt idx="33">
                  <c:v>142281</c:v>
                </c:pt>
                <c:pt idx="34">
                  <c:v>180825</c:v>
                </c:pt>
                <c:pt idx="35">
                  <c:v>318961</c:v>
                </c:pt>
              </c:numCache>
            </c:numRef>
          </c:val>
          <c:extLst>
            <c:ext xmlns:c16="http://schemas.microsoft.com/office/drawing/2014/chart" uri="{C3380CC4-5D6E-409C-BE32-E72D297353CC}">
              <c16:uniqueId val="{00000000-BF95-4785-BA59-900DE45121F6}"/>
            </c:ext>
          </c:extLst>
        </c:ser>
        <c:ser>
          <c:idx val="1"/>
          <c:order val="1"/>
          <c:tx>
            <c:strRef>
              <c:f>'Grafico STI (3)'!$A$14</c:f>
              <c:strCache>
                <c:ptCount val="1"/>
                <c:pt idx="0">
                  <c:v>Saída</c:v>
                </c:pt>
              </c:strCache>
            </c:strRef>
          </c:tx>
          <c:spPr>
            <a:solidFill>
              <a:srgbClr val="FFC000"/>
            </a:soli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multiLvlStrRef>
              <c:f>'Grafico STI (3)'!$B$11:$AK$12</c:f>
              <c:multiLvlStrCache>
                <c:ptCount val="36"/>
                <c:lvl>
                  <c:pt idx="0">
                    <c:v>JAN</c:v>
                  </c:pt>
                  <c:pt idx="1">
                    <c:v>FEV</c:v>
                  </c:pt>
                  <c:pt idx="2">
                    <c:v>MAR</c:v>
                  </c:pt>
                  <c:pt idx="3">
                    <c:v>ABR</c:v>
                  </c:pt>
                  <c:pt idx="4">
                    <c:v>MAI</c:v>
                  </c:pt>
                  <c:pt idx="5">
                    <c:v>JUN</c:v>
                  </c:pt>
                  <c:pt idx="6">
                    <c:v>JUL</c:v>
                  </c:pt>
                  <c:pt idx="7">
                    <c:v>AGO</c:v>
                  </c:pt>
                  <c:pt idx="8">
                    <c:v>SET</c:v>
                  </c:pt>
                  <c:pt idx="9">
                    <c:v>OUT</c:v>
                  </c:pt>
                  <c:pt idx="10">
                    <c:v>NOV</c:v>
                  </c:pt>
                  <c:pt idx="11">
                    <c:v>DEZ</c:v>
                  </c:pt>
                  <c:pt idx="12">
                    <c:v>JAN</c:v>
                  </c:pt>
                  <c:pt idx="13">
                    <c:v>FEV</c:v>
                  </c:pt>
                  <c:pt idx="14">
                    <c:v>MAR</c:v>
                  </c:pt>
                  <c:pt idx="15">
                    <c:v>ABR</c:v>
                  </c:pt>
                  <c:pt idx="16">
                    <c:v>MAI</c:v>
                  </c:pt>
                  <c:pt idx="17">
                    <c:v>JUN</c:v>
                  </c:pt>
                  <c:pt idx="18">
                    <c:v>JUL</c:v>
                  </c:pt>
                  <c:pt idx="19">
                    <c:v>AGO</c:v>
                  </c:pt>
                  <c:pt idx="20">
                    <c:v>SET</c:v>
                  </c:pt>
                  <c:pt idx="21">
                    <c:v>OUT</c:v>
                  </c:pt>
                  <c:pt idx="22">
                    <c:v>NOV</c:v>
                  </c:pt>
                  <c:pt idx="23">
                    <c:v>DEZ</c:v>
                  </c:pt>
                  <c:pt idx="24">
                    <c:v>JAN</c:v>
                  </c:pt>
                  <c:pt idx="25">
                    <c:v>FEV</c:v>
                  </c:pt>
                  <c:pt idx="26">
                    <c:v>MAR</c:v>
                  </c:pt>
                  <c:pt idx="27">
                    <c:v>ABR</c:v>
                  </c:pt>
                  <c:pt idx="28">
                    <c:v>MAI</c:v>
                  </c:pt>
                  <c:pt idx="29">
                    <c:v>JUN</c:v>
                  </c:pt>
                  <c:pt idx="30">
                    <c:v>JUL</c:v>
                  </c:pt>
                  <c:pt idx="31">
                    <c:v>AGO</c:v>
                  </c:pt>
                  <c:pt idx="32">
                    <c:v>SET</c:v>
                  </c:pt>
                  <c:pt idx="33">
                    <c:v>OUT</c:v>
                  </c:pt>
                  <c:pt idx="34">
                    <c:v>NOV</c:v>
                  </c:pt>
                  <c:pt idx="35">
                    <c:v>DEZ</c:v>
                  </c:pt>
                </c:lvl>
                <c:lvl>
                  <c:pt idx="0">
                    <c:v>2018</c:v>
                  </c:pt>
                  <c:pt idx="12">
                    <c:v>2019</c:v>
                  </c:pt>
                  <c:pt idx="24">
                    <c:v>2020</c:v>
                  </c:pt>
                </c:lvl>
              </c:multiLvlStrCache>
            </c:multiLvlStrRef>
          </c:cat>
          <c:val>
            <c:numRef>
              <c:f>'Grafico STI (3)'!$B$14:$AK$14</c:f>
              <c:numCache>
                <c:formatCode>General</c:formatCode>
                <c:ptCount val="36"/>
                <c:pt idx="0">
                  <c:v>1687272</c:v>
                </c:pt>
                <c:pt idx="1">
                  <c:v>1456671</c:v>
                </c:pt>
                <c:pt idx="2">
                  <c:v>1277932</c:v>
                </c:pt>
                <c:pt idx="3">
                  <c:v>1179433</c:v>
                </c:pt>
                <c:pt idx="4">
                  <c:v>1070047</c:v>
                </c:pt>
                <c:pt idx="5">
                  <c:v>998687</c:v>
                </c:pt>
                <c:pt idx="6">
                  <c:v>1225735</c:v>
                </c:pt>
                <c:pt idx="7">
                  <c:v>1142306</c:v>
                </c:pt>
                <c:pt idx="8">
                  <c:v>1101912</c:v>
                </c:pt>
                <c:pt idx="9">
                  <c:v>1066963</c:v>
                </c:pt>
                <c:pt idx="10">
                  <c:v>1097444</c:v>
                </c:pt>
                <c:pt idx="11">
                  <c:v>1351780</c:v>
                </c:pt>
                <c:pt idx="12">
                  <c:v>1672524</c:v>
                </c:pt>
                <c:pt idx="13">
                  <c:v>1417670</c:v>
                </c:pt>
                <c:pt idx="14">
                  <c:v>1334272</c:v>
                </c:pt>
                <c:pt idx="15">
                  <c:v>1178255</c:v>
                </c:pt>
                <c:pt idx="16">
                  <c:v>1085709</c:v>
                </c:pt>
                <c:pt idx="17">
                  <c:v>1117453</c:v>
                </c:pt>
                <c:pt idx="18">
                  <c:v>1281237</c:v>
                </c:pt>
                <c:pt idx="19">
                  <c:v>1188714</c:v>
                </c:pt>
                <c:pt idx="20">
                  <c:v>1123592</c:v>
                </c:pt>
                <c:pt idx="21">
                  <c:v>1082176</c:v>
                </c:pt>
                <c:pt idx="22">
                  <c:v>1066169</c:v>
                </c:pt>
                <c:pt idx="23">
                  <c:v>1323144</c:v>
                </c:pt>
                <c:pt idx="24">
                  <c:v>1638112</c:v>
                </c:pt>
                <c:pt idx="25">
                  <c:v>1471703</c:v>
                </c:pt>
                <c:pt idx="26">
                  <c:v>746128</c:v>
                </c:pt>
                <c:pt idx="27">
                  <c:v>36774</c:v>
                </c:pt>
                <c:pt idx="28">
                  <c:v>47319</c:v>
                </c:pt>
                <c:pt idx="29">
                  <c:v>15272</c:v>
                </c:pt>
                <c:pt idx="30">
                  <c:v>16696</c:v>
                </c:pt>
                <c:pt idx="31">
                  <c:v>93308</c:v>
                </c:pt>
                <c:pt idx="32">
                  <c:v>108673</c:v>
                </c:pt>
                <c:pt idx="33">
                  <c:v>127557</c:v>
                </c:pt>
                <c:pt idx="34">
                  <c:v>140148</c:v>
                </c:pt>
                <c:pt idx="35">
                  <c:v>208690</c:v>
                </c:pt>
              </c:numCache>
            </c:numRef>
          </c:val>
          <c:extLst>
            <c:ext xmlns:c16="http://schemas.microsoft.com/office/drawing/2014/chart" uri="{C3380CC4-5D6E-409C-BE32-E72D297353CC}">
              <c16:uniqueId val="{00000001-BF95-4785-BA59-900DE45121F6}"/>
            </c:ext>
          </c:extLst>
        </c:ser>
        <c:dLbls>
          <c:showLegendKey val="0"/>
          <c:showVal val="0"/>
          <c:showCatName val="0"/>
          <c:showSerName val="0"/>
          <c:showPercent val="0"/>
          <c:showBubbleSize val="0"/>
        </c:dLbls>
        <c:gapWidth val="100"/>
        <c:axId val="377473904"/>
        <c:axId val="377473512"/>
      </c:barChart>
      <c:lineChart>
        <c:grouping val="standard"/>
        <c:varyColors val="0"/>
        <c:ser>
          <c:idx val="2"/>
          <c:order val="2"/>
          <c:tx>
            <c:strRef>
              <c:f>'Grafico STI (3)'!$A$15</c:f>
              <c:strCache>
                <c:ptCount val="1"/>
                <c:pt idx="0">
                  <c:v>Saldo</c:v>
                </c:pt>
              </c:strCache>
            </c:strRef>
          </c:tx>
          <c:spPr>
            <a:ln w="34925" cap="rnd">
              <a:solidFill>
                <a:srgbClr val="C00000"/>
              </a:solidFill>
              <a:round/>
            </a:ln>
            <a:effectLst>
              <a:outerShdw blurRad="57150" dist="19050" dir="5400000" algn="ctr" rotWithShape="0">
                <a:srgbClr val="000000">
                  <a:alpha val="63000"/>
                </a:srgbClr>
              </a:outerShdw>
            </a:effectLst>
          </c:spPr>
          <c:marker>
            <c:symbol val="none"/>
          </c:marker>
          <c:cat>
            <c:multiLvlStrRef>
              <c:f>'Grafico STI (3)'!$B$11:$AK$12</c:f>
              <c:multiLvlStrCache>
                <c:ptCount val="36"/>
                <c:lvl>
                  <c:pt idx="0">
                    <c:v>JAN</c:v>
                  </c:pt>
                  <c:pt idx="1">
                    <c:v>FEV</c:v>
                  </c:pt>
                  <c:pt idx="2">
                    <c:v>MAR</c:v>
                  </c:pt>
                  <c:pt idx="3">
                    <c:v>ABR</c:v>
                  </c:pt>
                  <c:pt idx="4">
                    <c:v>MAI</c:v>
                  </c:pt>
                  <c:pt idx="5">
                    <c:v>JUN</c:v>
                  </c:pt>
                  <c:pt idx="6">
                    <c:v>JUL</c:v>
                  </c:pt>
                  <c:pt idx="7">
                    <c:v>AGO</c:v>
                  </c:pt>
                  <c:pt idx="8">
                    <c:v>SET</c:v>
                  </c:pt>
                  <c:pt idx="9">
                    <c:v>OUT</c:v>
                  </c:pt>
                  <c:pt idx="10">
                    <c:v>NOV</c:v>
                  </c:pt>
                  <c:pt idx="11">
                    <c:v>DEZ</c:v>
                  </c:pt>
                  <c:pt idx="12">
                    <c:v>JAN</c:v>
                  </c:pt>
                  <c:pt idx="13">
                    <c:v>FEV</c:v>
                  </c:pt>
                  <c:pt idx="14">
                    <c:v>MAR</c:v>
                  </c:pt>
                  <c:pt idx="15">
                    <c:v>ABR</c:v>
                  </c:pt>
                  <c:pt idx="16">
                    <c:v>MAI</c:v>
                  </c:pt>
                  <c:pt idx="17">
                    <c:v>JUN</c:v>
                  </c:pt>
                  <c:pt idx="18">
                    <c:v>JUL</c:v>
                  </c:pt>
                  <c:pt idx="19">
                    <c:v>AGO</c:v>
                  </c:pt>
                  <c:pt idx="20">
                    <c:v>SET</c:v>
                  </c:pt>
                  <c:pt idx="21">
                    <c:v>OUT</c:v>
                  </c:pt>
                  <c:pt idx="22">
                    <c:v>NOV</c:v>
                  </c:pt>
                  <c:pt idx="23">
                    <c:v>DEZ</c:v>
                  </c:pt>
                  <c:pt idx="24">
                    <c:v>JAN</c:v>
                  </c:pt>
                  <c:pt idx="25">
                    <c:v>FEV</c:v>
                  </c:pt>
                  <c:pt idx="26">
                    <c:v>MAR</c:v>
                  </c:pt>
                  <c:pt idx="27">
                    <c:v>ABR</c:v>
                  </c:pt>
                  <c:pt idx="28">
                    <c:v>MAI</c:v>
                  </c:pt>
                  <c:pt idx="29">
                    <c:v>JUN</c:v>
                  </c:pt>
                  <c:pt idx="30">
                    <c:v>JUL</c:v>
                  </c:pt>
                  <c:pt idx="31">
                    <c:v>AGO</c:v>
                  </c:pt>
                  <c:pt idx="32">
                    <c:v>SET</c:v>
                  </c:pt>
                  <c:pt idx="33">
                    <c:v>OUT</c:v>
                  </c:pt>
                  <c:pt idx="34">
                    <c:v>NOV</c:v>
                  </c:pt>
                  <c:pt idx="35">
                    <c:v>DEZ</c:v>
                  </c:pt>
                </c:lvl>
                <c:lvl>
                  <c:pt idx="0">
                    <c:v>2018</c:v>
                  </c:pt>
                  <c:pt idx="12">
                    <c:v>2019</c:v>
                  </c:pt>
                  <c:pt idx="24">
                    <c:v>2020</c:v>
                  </c:pt>
                </c:lvl>
              </c:multiLvlStrCache>
            </c:multiLvlStrRef>
          </c:cat>
          <c:val>
            <c:numRef>
              <c:f>'Grafico STI (3)'!$B$15:$AK$15</c:f>
              <c:numCache>
                <c:formatCode>General</c:formatCode>
                <c:ptCount val="36"/>
                <c:pt idx="0">
                  <c:v>135667</c:v>
                </c:pt>
                <c:pt idx="1">
                  <c:v>-7977</c:v>
                </c:pt>
                <c:pt idx="2">
                  <c:v>-67348</c:v>
                </c:pt>
                <c:pt idx="3">
                  <c:v>-179492</c:v>
                </c:pt>
                <c:pt idx="4">
                  <c:v>-61500</c:v>
                </c:pt>
                <c:pt idx="5">
                  <c:v>-17966</c:v>
                </c:pt>
                <c:pt idx="6">
                  <c:v>30338</c:v>
                </c:pt>
                <c:pt idx="7">
                  <c:v>-20292</c:v>
                </c:pt>
                <c:pt idx="8">
                  <c:v>-20303</c:v>
                </c:pt>
                <c:pt idx="9">
                  <c:v>24721</c:v>
                </c:pt>
                <c:pt idx="10">
                  <c:v>32751</c:v>
                </c:pt>
                <c:pt idx="11">
                  <c:v>-14986</c:v>
                </c:pt>
                <c:pt idx="12">
                  <c:v>71963</c:v>
                </c:pt>
                <c:pt idx="13">
                  <c:v>-31035</c:v>
                </c:pt>
                <c:pt idx="14">
                  <c:v>-98853</c:v>
                </c:pt>
                <c:pt idx="15">
                  <c:v>-92223</c:v>
                </c:pt>
                <c:pt idx="16">
                  <c:v>-57900</c:v>
                </c:pt>
                <c:pt idx="17">
                  <c:v>-21089</c:v>
                </c:pt>
                <c:pt idx="18">
                  <c:v>27497</c:v>
                </c:pt>
                <c:pt idx="19">
                  <c:v>-31998</c:v>
                </c:pt>
                <c:pt idx="20">
                  <c:v>-34093</c:v>
                </c:pt>
                <c:pt idx="21">
                  <c:v>33056</c:v>
                </c:pt>
                <c:pt idx="22">
                  <c:v>56716</c:v>
                </c:pt>
                <c:pt idx="23">
                  <c:v>9551</c:v>
                </c:pt>
                <c:pt idx="24">
                  <c:v>81797</c:v>
                </c:pt>
                <c:pt idx="25">
                  <c:v>-59428</c:v>
                </c:pt>
                <c:pt idx="26">
                  <c:v>9293</c:v>
                </c:pt>
                <c:pt idx="27">
                  <c:v>12904</c:v>
                </c:pt>
                <c:pt idx="28">
                  <c:v>3827</c:v>
                </c:pt>
                <c:pt idx="29">
                  <c:v>-110</c:v>
                </c:pt>
                <c:pt idx="30">
                  <c:v>1709</c:v>
                </c:pt>
                <c:pt idx="31">
                  <c:v>3246</c:v>
                </c:pt>
                <c:pt idx="32">
                  <c:v>517</c:v>
                </c:pt>
                <c:pt idx="33">
                  <c:v>14724</c:v>
                </c:pt>
                <c:pt idx="34">
                  <c:v>40677</c:v>
                </c:pt>
                <c:pt idx="35">
                  <c:v>110271</c:v>
                </c:pt>
              </c:numCache>
            </c:numRef>
          </c:val>
          <c:smooth val="0"/>
          <c:extLst>
            <c:ext xmlns:c16="http://schemas.microsoft.com/office/drawing/2014/chart" uri="{C3380CC4-5D6E-409C-BE32-E72D297353CC}">
              <c16:uniqueId val="{00000002-BF95-4785-BA59-900DE45121F6}"/>
            </c:ext>
          </c:extLst>
        </c:ser>
        <c:dLbls>
          <c:showLegendKey val="0"/>
          <c:showVal val="0"/>
          <c:showCatName val="0"/>
          <c:showSerName val="0"/>
          <c:showPercent val="0"/>
          <c:showBubbleSize val="0"/>
        </c:dLbls>
        <c:marker val="1"/>
        <c:smooth val="0"/>
        <c:axId val="377473904"/>
        <c:axId val="377473512"/>
      </c:lineChart>
      <c:catAx>
        <c:axId val="3774739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800" b="1" i="0" u="none" strike="noStrike" kern="1200" baseline="0">
                <a:solidFill>
                  <a:schemeClr val="lt1">
                    <a:lumMod val="85000"/>
                  </a:schemeClr>
                </a:solidFill>
                <a:latin typeface="+mn-lt"/>
                <a:ea typeface="+mn-ea"/>
                <a:cs typeface="+mn-cs"/>
              </a:defRPr>
            </a:pPr>
            <a:endParaRPr lang="pt-BR"/>
          </a:p>
        </c:txPr>
        <c:crossAx val="377473512"/>
        <c:crosses val="autoZero"/>
        <c:auto val="1"/>
        <c:lblAlgn val="ctr"/>
        <c:lblOffset val="100"/>
        <c:noMultiLvlLbl val="0"/>
      </c:catAx>
      <c:valAx>
        <c:axId val="377473512"/>
        <c:scaling>
          <c:orientation val="minMax"/>
          <c:max val="2000000"/>
          <c:min val="-250000"/>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pt-BR"/>
          </a:p>
        </c:txPr>
        <c:crossAx val="37747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4E62B-39B3-4EAF-BA52-8BC8979A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18</Pages>
  <Words>5077</Words>
  <Characters>27419</Characters>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2021-05-26T20:18:00Z</dcterms:created>
  <dcterms:modified xsi:type="dcterms:W3CDTF">2021-06-04T20:02:00Z</dcterms:modified>
</cp:coreProperties>
</file>